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D4269" w14:textId="34B12A4C"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321FE3">
        <w:rPr>
          <w:rFonts w:cs="Arial"/>
          <w:bCs/>
          <w:noProof w:val="0"/>
          <w:sz w:val="24"/>
          <w:szCs w:val="24"/>
        </w:rPr>
        <w:t>9</w:t>
      </w:r>
      <w:r w:rsidR="002C1220" w:rsidRPr="000665EA">
        <w:rPr>
          <w:rFonts w:cs="Arial"/>
          <w:bCs/>
          <w:noProof w:val="0"/>
          <w:sz w:val="24"/>
          <w:szCs w:val="24"/>
        </w:rPr>
        <w:tab/>
        <w:t>R3-</w:t>
      </w:r>
      <w:r w:rsidR="00FA4A45" w:rsidRPr="000665EA">
        <w:rPr>
          <w:rFonts w:cs="Arial"/>
          <w:bCs/>
          <w:noProof w:val="0"/>
          <w:sz w:val="24"/>
          <w:szCs w:val="24"/>
        </w:rPr>
        <w:t>2</w:t>
      </w:r>
      <w:r w:rsidR="00321FE3">
        <w:rPr>
          <w:rFonts w:cs="Arial"/>
          <w:bCs/>
          <w:noProof w:val="0"/>
          <w:sz w:val="24"/>
          <w:szCs w:val="24"/>
        </w:rPr>
        <w:t>3</w:t>
      </w:r>
      <w:r w:rsidR="00550EFC">
        <w:rPr>
          <w:rFonts w:cs="Arial"/>
          <w:bCs/>
          <w:noProof w:val="0"/>
          <w:sz w:val="24"/>
          <w:szCs w:val="24"/>
        </w:rPr>
        <w:t>0121</w:t>
      </w:r>
    </w:p>
    <w:bookmarkEnd w:id="0"/>
    <w:p w14:paraId="5669B020" w14:textId="5F209281" w:rsidR="004C654E" w:rsidRPr="000665EA" w:rsidRDefault="00321FE3" w:rsidP="004C654E">
      <w:pPr>
        <w:pStyle w:val="Header"/>
        <w:tabs>
          <w:tab w:val="left" w:pos="2410"/>
        </w:tabs>
        <w:rPr>
          <w:rFonts w:eastAsia="MS Mincho" w:cs="Arial"/>
          <w:sz w:val="24"/>
          <w:szCs w:val="24"/>
        </w:rPr>
      </w:pPr>
      <w:r>
        <w:rPr>
          <w:rFonts w:eastAsia="MS Mincho" w:cs="Arial"/>
          <w:sz w:val="24"/>
          <w:szCs w:val="24"/>
        </w:rPr>
        <w:t>Athens, Greece</w:t>
      </w:r>
      <w:r w:rsidR="002F12C7">
        <w:rPr>
          <w:rFonts w:eastAsia="MS Mincho" w:cs="Arial"/>
          <w:sz w:val="24"/>
          <w:szCs w:val="24"/>
        </w:rPr>
        <w:t>, EU</w:t>
      </w:r>
      <w:r w:rsidR="00FC5FE8" w:rsidRPr="000665EA">
        <w:rPr>
          <w:rFonts w:eastAsia="MS Mincho" w:cs="Arial"/>
          <w:sz w:val="24"/>
          <w:szCs w:val="24"/>
        </w:rPr>
        <w:t xml:space="preserve">, </w:t>
      </w:r>
      <w:r>
        <w:rPr>
          <w:rFonts w:eastAsia="MS Mincho" w:cs="Arial"/>
          <w:sz w:val="24"/>
          <w:szCs w:val="24"/>
        </w:rPr>
        <w:t>27 Feb</w:t>
      </w:r>
      <w:r w:rsidR="00DD4A4E">
        <w:rPr>
          <w:rFonts w:eastAsia="MS Mincho" w:cs="Arial"/>
          <w:sz w:val="24"/>
          <w:szCs w:val="24"/>
        </w:rPr>
        <w:t xml:space="preserve"> – </w:t>
      </w:r>
      <w:r>
        <w:rPr>
          <w:rFonts w:eastAsia="MS Mincho" w:cs="Arial"/>
          <w:sz w:val="24"/>
          <w:szCs w:val="24"/>
        </w:rPr>
        <w:t>3</w:t>
      </w:r>
      <w:r w:rsidR="00DD4A4E">
        <w:rPr>
          <w:rFonts w:eastAsia="MS Mincho" w:cs="Arial"/>
          <w:sz w:val="24"/>
          <w:szCs w:val="24"/>
        </w:rPr>
        <w:t xml:space="preserve"> </w:t>
      </w:r>
      <w:r>
        <w:rPr>
          <w:rFonts w:eastAsia="MS Mincho" w:cs="Arial"/>
          <w:sz w:val="24"/>
          <w:szCs w:val="24"/>
        </w:rPr>
        <w:t>Mar</w:t>
      </w:r>
      <w:r w:rsidR="005F10C3" w:rsidRPr="000665EA">
        <w:rPr>
          <w:rFonts w:eastAsia="MS Mincho" w:cs="Arial"/>
          <w:sz w:val="24"/>
          <w:szCs w:val="24"/>
        </w:rPr>
        <w:t xml:space="preserve"> 20</w:t>
      </w:r>
      <w:r w:rsidR="00FA4A45" w:rsidRPr="000665EA">
        <w:rPr>
          <w:rFonts w:eastAsia="MS Mincho" w:cs="Arial"/>
          <w:sz w:val="24"/>
          <w:szCs w:val="24"/>
        </w:rPr>
        <w:t>2</w:t>
      </w:r>
      <w:r w:rsidR="00B87C87">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336AB4EE"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550EFC">
        <w:rPr>
          <w:rFonts w:cs="Arial"/>
          <w:b/>
          <w:bCs/>
          <w:sz w:val="24"/>
        </w:rPr>
        <w:t>9.2.4</w:t>
      </w:r>
    </w:p>
    <w:p w14:paraId="02505283" w14:textId="3C4A8BEF"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r w:rsidR="006F5DE6">
        <w:rPr>
          <w:rFonts w:ascii="Arial" w:hAnsi="Arial" w:cs="Arial"/>
          <w:b/>
          <w:bCs/>
          <w:sz w:val="24"/>
        </w:rPr>
        <w:t>, Lenovo</w:t>
      </w:r>
      <w:r w:rsidR="00AB0BE5">
        <w:rPr>
          <w:rFonts w:ascii="Arial" w:hAnsi="Arial" w:cs="Arial"/>
          <w:b/>
          <w:bCs/>
          <w:sz w:val="24"/>
        </w:rPr>
        <w:t>, Ericsson</w:t>
      </w:r>
      <w:r w:rsidR="00E9071D">
        <w:rPr>
          <w:rFonts w:ascii="Arial" w:hAnsi="Arial" w:cs="Arial"/>
          <w:b/>
          <w:bCs/>
          <w:sz w:val="24"/>
        </w:rPr>
        <w:t xml:space="preserve">, </w:t>
      </w:r>
      <w:r w:rsidR="00E9071D" w:rsidRPr="00E9071D">
        <w:rPr>
          <w:rFonts w:ascii="Arial" w:hAnsi="Arial" w:cs="Arial"/>
          <w:b/>
          <w:bCs/>
          <w:sz w:val="24"/>
        </w:rPr>
        <w:t>Intel Corporation</w:t>
      </w:r>
      <w:r w:rsidR="002B69AF">
        <w:rPr>
          <w:rFonts w:ascii="Arial" w:hAnsi="Arial" w:cs="Arial"/>
          <w:b/>
          <w:bCs/>
          <w:sz w:val="24"/>
        </w:rPr>
        <w:t>, Huawei</w:t>
      </w:r>
    </w:p>
    <w:p w14:paraId="5E7A28BB" w14:textId="2D3037CF"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DC6071">
        <w:rPr>
          <w:rFonts w:ascii="Arial" w:hAnsi="Arial" w:cs="Arial"/>
          <w:b/>
          <w:bCs/>
          <w:sz w:val="24"/>
        </w:rPr>
        <w:t>Discussion on the coordination of MN’s conditional reconfiguration and SCG reconfiguration</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53D46A25" w:rsidR="005E3D0F" w:rsidRDefault="00DE3BD7" w:rsidP="008572DC">
      <w:bookmarkStart w:id="1" w:name="_Toc474247438"/>
      <w:r>
        <w:t xml:space="preserve">At RAN3 #117, a simple mechanism was designed, which allowed the MN to let the SN know a CHO has been initiated, and then, the SN to inform the MN that due to intra-SN CPC execution, the CHO config has been removed from the UE. </w:t>
      </w:r>
    </w:p>
    <w:p w14:paraId="16F8E3B0" w14:textId="0049647F" w:rsidR="00DE3BD7" w:rsidRPr="000665EA" w:rsidRDefault="00DE3BD7" w:rsidP="008572DC">
      <w:r>
        <w:t>At RAN3 #118, this mechanism was slightly enhanced (the notification from the MN was separated from the data forwarding indication). However, it was also noted that the coordination mechanism shall be broader, because also MN-initiated CPC and classic reconfigurations interact. This discussion was not completed then though.</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1"/>
    <w:p w14:paraId="57039105" w14:textId="3BD8B4A9" w:rsidR="008559D6" w:rsidRDefault="006F1479" w:rsidP="008559D6">
      <w:r>
        <w:t>At RAN3 #118, a table was formulated, where the results of the event interactions were recorded. There were two dimensions considered:</w:t>
      </w:r>
    </w:p>
    <w:p w14:paraId="039782ED" w14:textId="7B5D16C9" w:rsidR="006F1479" w:rsidRDefault="006F1479" w:rsidP="005311B0">
      <w:pPr>
        <w:pStyle w:val="ListParagraph"/>
        <w:numPr>
          <w:ilvl w:val="0"/>
          <w:numId w:val="40"/>
        </w:numPr>
      </w:pPr>
      <w:r>
        <w:t>After reconfiguration of SCG, the UE may delete prior conditional configuration from the MN, or the conditional reconfiguration may remain active.</w:t>
      </w:r>
    </w:p>
    <w:p w14:paraId="3D40065F" w14:textId="3B5B7DAD" w:rsidR="006F1479" w:rsidRDefault="006F1479" w:rsidP="005311B0">
      <w:pPr>
        <w:pStyle w:val="ListParagraph"/>
        <w:numPr>
          <w:ilvl w:val="0"/>
          <w:numId w:val="40"/>
        </w:numPr>
      </w:pPr>
      <w:r>
        <w:t>The SCG configuration included in the notification from the SN may need to be forwarded to the UE over SRB1, or may be provided only for coordination purposes (e.g. to enable re-enabling deleted CHO in the UE and in the target nodes).</w:t>
      </w:r>
    </w:p>
    <w:p w14:paraId="3FF12486" w14:textId="2B904275" w:rsidR="006F1479" w:rsidRDefault="005311B0" w:rsidP="008559D6">
      <w:r>
        <w:t>With this in mind, we propose to reformulate a bit the table discussed at RAN3 #118:</w:t>
      </w:r>
    </w:p>
    <w:tbl>
      <w:tblPr>
        <w:tblW w:w="0" w:type="auto"/>
        <w:tblInd w:w="137" w:type="dxa"/>
        <w:tblCellMar>
          <w:left w:w="0" w:type="dxa"/>
          <w:right w:w="0" w:type="dxa"/>
        </w:tblCellMar>
        <w:tblLook w:val="04A0" w:firstRow="1" w:lastRow="0" w:firstColumn="1" w:lastColumn="0" w:noHBand="0" w:noVBand="1"/>
      </w:tblPr>
      <w:tblGrid>
        <w:gridCol w:w="1863"/>
        <w:gridCol w:w="2337"/>
        <w:gridCol w:w="2509"/>
        <w:gridCol w:w="2775"/>
      </w:tblGrid>
      <w:tr w:rsidR="005311B0" w14:paraId="019EBE15" w14:textId="77777777" w:rsidTr="005311B0">
        <w:tc>
          <w:tcPr>
            <w:tcW w:w="1881"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5296B318" w14:textId="77777777" w:rsidR="005311B0" w:rsidRDefault="005311B0">
            <w:pPr>
              <w:wordWrap w:val="0"/>
              <w:jc w:val="right"/>
              <w:rPr>
                <w:rFonts w:ascii="Calibri" w:hAnsi="Calibri"/>
                <w:b/>
                <w:bCs/>
                <w:sz w:val="18"/>
                <w:szCs w:val="18"/>
                <w:lang w:eastAsia="en-GB"/>
              </w:rPr>
            </w:pPr>
            <w:r>
              <w:rPr>
                <w:rFonts w:ascii="Calibri" w:hAnsi="Calibri"/>
                <w:b/>
                <w:bCs/>
                <w:sz w:val="18"/>
                <w:szCs w:val="18"/>
              </w:rPr>
              <w:t xml:space="preserve">First MN reconfig  </w:t>
            </w:r>
          </w:p>
          <w:p w14:paraId="7A6181B9" w14:textId="77777777" w:rsidR="005311B0" w:rsidRDefault="005311B0">
            <w:pPr>
              <w:rPr>
                <w:rFonts w:ascii="Calibri" w:hAnsi="Calibri"/>
                <w:b/>
                <w:bCs/>
                <w:sz w:val="18"/>
                <w:szCs w:val="18"/>
              </w:rPr>
            </w:pPr>
          </w:p>
          <w:p w14:paraId="09BA8687" w14:textId="77777777" w:rsidR="005311B0" w:rsidRDefault="005311B0">
            <w:pPr>
              <w:rPr>
                <w:rFonts w:ascii="Calibri" w:hAnsi="Calibri"/>
                <w:b/>
                <w:bCs/>
                <w:sz w:val="18"/>
                <w:szCs w:val="18"/>
              </w:rPr>
            </w:pPr>
            <w:r>
              <w:rPr>
                <w:rFonts w:ascii="Calibri" w:hAnsi="Calibri"/>
                <w:b/>
                <w:bCs/>
                <w:sz w:val="18"/>
                <w:szCs w:val="18"/>
              </w:rPr>
              <w:t xml:space="preserve">Following </w:t>
            </w:r>
            <w:r>
              <w:rPr>
                <w:rFonts w:ascii="Calibri" w:hAnsi="Calibri"/>
                <w:b/>
                <w:bCs/>
                <w:sz w:val="18"/>
                <w:szCs w:val="18"/>
              </w:rPr>
              <w:br/>
              <w:t>SN reconfig</w:t>
            </w:r>
          </w:p>
        </w:tc>
        <w:tc>
          <w:tcPr>
            <w:tcW w:w="237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53C7A74F" w14:textId="77777777" w:rsidR="005311B0" w:rsidRDefault="005311B0">
            <w:pPr>
              <w:rPr>
                <w:rFonts w:ascii="Calibri" w:hAnsi="Calibri"/>
                <w:b/>
                <w:bCs/>
                <w:sz w:val="18"/>
                <w:szCs w:val="18"/>
              </w:rPr>
            </w:pPr>
            <w:r>
              <w:rPr>
                <w:rFonts w:ascii="Calibri" w:hAnsi="Calibri"/>
                <w:b/>
                <w:bCs/>
                <w:sz w:val="18"/>
                <w:szCs w:val="18"/>
              </w:rPr>
              <w:t xml:space="preserve">Case A: </w:t>
            </w:r>
          </w:p>
          <w:p w14:paraId="2D6A595E" w14:textId="77777777" w:rsidR="005311B0" w:rsidRDefault="005311B0">
            <w:pPr>
              <w:rPr>
                <w:rFonts w:ascii="Calibri" w:hAnsi="Calibri"/>
                <w:b/>
                <w:bCs/>
                <w:sz w:val="18"/>
                <w:szCs w:val="18"/>
              </w:rPr>
            </w:pPr>
            <w:r>
              <w:rPr>
                <w:rFonts w:ascii="Calibri" w:hAnsi="Calibri"/>
                <w:b/>
                <w:bCs/>
                <w:sz w:val="18"/>
                <w:szCs w:val="18"/>
              </w:rPr>
              <w:t xml:space="preserve">Only CHO is prepared </w:t>
            </w:r>
          </w:p>
          <w:p w14:paraId="63F3328E" w14:textId="77777777" w:rsidR="005311B0" w:rsidRDefault="005311B0">
            <w:pPr>
              <w:rPr>
                <w:rFonts w:ascii="Calibri" w:hAnsi="Calibri"/>
                <w:b/>
                <w:bCs/>
                <w:sz w:val="18"/>
                <w:szCs w:val="18"/>
                <w:lang w:eastAsia="zh-CN"/>
              </w:rPr>
            </w:pPr>
            <w:r>
              <w:rPr>
                <w:rFonts w:ascii="Calibri" w:hAnsi="Calibri"/>
                <w:b/>
                <w:bCs/>
                <w:sz w:val="18"/>
                <w:szCs w:val="18"/>
              </w:rPr>
              <w:t>(No MN/SN initiated inter SN CPC)</w:t>
            </w:r>
          </w:p>
        </w:tc>
        <w:tc>
          <w:tcPr>
            <w:tcW w:w="2551"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3E74F66" w14:textId="77777777" w:rsidR="005311B0" w:rsidRDefault="005311B0">
            <w:pPr>
              <w:rPr>
                <w:rFonts w:ascii="Calibri" w:hAnsi="Calibri"/>
                <w:b/>
                <w:bCs/>
                <w:sz w:val="18"/>
                <w:szCs w:val="18"/>
                <w:lang w:eastAsia="en-GB"/>
              </w:rPr>
            </w:pPr>
            <w:r>
              <w:rPr>
                <w:rFonts w:ascii="Calibri" w:hAnsi="Calibri"/>
                <w:b/>
                <w:bCs/>
                <w:sz w:val="18"/>
                <w:szCs w:val="18"/>
              </w:rPr>
              <w:t xml:space="preserve">Case B: </w:t>
            </w:r>
          </w:p>
          <w:p w14:paraId="5BDDBF6A" w14:textId="77777777" w:rsidR="005311B0" w:rsidRDefault="005311B0">
            <w:pPr>
              <w:rPr>
                <w:rFonts w:ascii="Calibri" w:hAnsi="Calibri"/>
                <w:b/>
                <w:bCs/>
                <w:sz w:val="18"/>
                <w:szCs w:val="18"/>
              </w:rPr>
            </w:pPr>
            <w:r>
              <w:rPr>
                <w:rFonts w:ascii="Calibri" w:hAnsi="Calibri"/>
                <w:b/>
                <w:bCs/>
                <w:sz w:val="18"/>
                <w:szCs w:val="18"/>
              </w:rPr>
              <w:t>MN/SN initiated inter SN CPC is prepared</w:t>
            </w:r>
          </w:p>
          <w:p w14:paraId="65052AA9" w14:textId="77777777" w:rsidR="005311B0" w:rsidRDefault="005311B0">
            <w:pPr>
              <w:rPr>
                <w:rFonts w:ascii="Calibri" w:hAnsi="Calibri"/>
                <w:b/>
                <w:bCs/>
                <w:sz w:val="18"/>
                <w:szCs w:val="18"/>
                <w:lang w:eastAsia="zh-CN"/>
              </w:rPr>
            </w:pPr>
            <w:r>
              <w:rPr>
                <w:rFonts w:ascii="Calibri" w:hAnsi="Calibri"/>
                <w:b/>
                <w:bCs/>
                <w:sz w:val="18"/>
                <w:szCs w:val="18"/>
                <w:lang w:eastAsia="zh-CN"/>
              </w:rPr>
              <w:t>(CHO may be prepared)</w:t>
            </w:r>
          </w:p>
        </w:tc>
        <w:tc>
          <w:tcPr>
            <w:tcW w:w="2835"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1242777B" w14:textId="77777777" w:rsidR="005311B0" w:rsidRDefault="005311B0">
            <w:pPr>
              <w:rPr>
                <w:rFonts w:ascii="Calibri" w:hAnsi="Calibri"/>
                <w:b/>
                <w:bCs/>
                <w:color w:val="BFBFBF"/>
                <w:sz w:val="18"/>
                <w:szCs w:val="18"/>
                <w:lang w:eastAsia="en-GB"/>
              </w:rPr>
            </w:pPr>
            <w:r>
              <w:rPr>
                <w:rFonts w:ascii="Calibri" w:hAnsi="Calibri"/>
                <w:b/>
                <w:bCs/>
                <w:color w:val="BFBFBF"/>
                <w:sz w:val="18"/>
                <w:szCs w:val="18"/>
              </w:rPr>
              <w:t>Case C:</w:t>
            </w:r>
          </w:p>
          <w:p w14:paraId="1AEE543F" w14:textId="77777777" w:rsidR="005311B0" w:rsidRDefault="005311B0">
            <w:pPr>
              <w:rPr>
                <w:rFonts w:ascii="Calibri" w:hAnsi="Calibri"/>
                <w:b/>
                <w:bCs/>
                <w:color w:val="BFBFBF"/>
                <w:sz w:val="18"/>
                <w:szCs w:val="18"/>
              </w:rPr>
            </w:pPr>
            <w:r>
              <w:rPr>
                <w:rFonts w:ascii="Calibri" w:hAnsi="Calibri"/>
                <w:b/>
                <w:bCs/>
                <w:color w:val="BFBFBF"/>
                <w:sz w:val="18"/>
                <w:szCs w:val="18"/>
              </w:rPr>
              <w:t>CHO or MN/SN initiated inter SN CPC is prepared</w:t>
            </w:r>
          </w:p>
          <w:p w14:paraId="4422AEF5" w14:textId="77777777" w:rsidR="005311B0" w:rsidRDefault="005311B0">
            <w:pPr>
              <w:rPr>
                <w:rFonts w:ascii="Calibri" w:hAnsi="Calibri"/>
                <w:b/>
                <w:bCs/>
                <w:color w:val="BFBFBF"/>
                <w:sz w:val="18"/>
                <w:szCs w:val="18"/>
              </w:rPr>
            </w:pPr>
            <w:r>
              <w:rPr>
                <w:rFonts w:ascii="Calibri" w:hAnsi="Calibri"/>
                <w:b/>
                <w:bCs/>
                <w:color w:val="BFBFBF"/>
                <w:sz w:val="18"/>
                <w:szCs w:val="18"/>
              </w:rPr>
              <w:t>AND Intra SN CPC is prepared (assuming SN notifies MN about the intra SN CPC</w:t>
            </w:r>
            <w:r>
              <w:rPr>
                <w:rFonts w:ascii="Calibri" w:hAnsi="Calibri"/>
                <w:b/>
                <w:bCs/>
                <w:color w:val="BFBFBF"/>
                <w:sz w:val="18"/>
                <w:szCs w:val="18"/>
                <w:lang w:eastAsia="zh-CN"/>
              </w:rPr>
              <w:t xml:space="preserve"> preparation</w:t>
            </w:r>
            <w:r>
              <w:rPr>
                <w:rFonts w:ascii="Calibri" w:hAnsi="Calibri"/>
                <w:b/>
                <w:bCs/>
                <w:color w:val="BFBFBF"/>
                <w:sz w:val="18"/>
                <w:szCs w:val="18"/>
              </w:rPr>
              <w:t>)</w:t>
            </w:r>
          </w:p>
        </w:tc>
      </w:tr>
      <w:tr w:rsidR="005311B0" w14:paraId="6BEBF1A1" w14:textId="77777777" w:rsidTr="005311B0">
        <w:tc>
          <w:tcPr>
            <w:tcW w:w="1881"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41EECD46" w14:textId="77777777" w:rsidR="005311B0" w:rsidRDefault="005311B0">
            <w:pPr>
              <w:rPr>
                <w:rFonts w:ascii="Arial" w:hAnsi="Arial" w:cs="Arial"/>
                <w:b/>
                <w:bCs/>
                <w:color w:val="000000"/>
                <w:sz w:val="18"/>
                <w:szCs w:val="18"/>
              </w:rPr>
            </w:pPr>
            <w:r>
              <w:rPr>
                <w:rFonts w:ascii="Calibri" w:hAnsi="Calibri"/>
                <w:b/>
                <w:bCs/>
                <w:sz w:val="18"/>
                <w:szCs w:val="18"/>
              </w:rPr>
              <w:t xml:space="preserve">Case 1. </w:t>
            </w:r>
            <w:r>
              <w:rPr>
                <w:rFonts w:ascii="Calibri" w:hAnsi="Calibri"/>
                <w:b/>
                <w:bCs/>
                <w:color w:val="000000"/>
                <w:sz w:val="18"/>
                <w:szCs w:val="18"/>
              </w:rPr>
              <w:t>intra-SN CPC execution</w:t>
            </w:r>
          </w:p>
        </w:tc>
        <w:tc>
          <w:tcPr>
            <w:tcW w:w="237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145BF44" w14:textId="77777777" w:rsidR="005311B0" w:rsidRDefault="005311B0">
            <w:pPr>
              <w:rPr>
                <w:rFonts w:ascii="Calibri" w:hAnsi="Calibri" w:cs="Calibri"/>
                <w:sz w:val="18"/>
                <w:szCs w:val="18"/>
              </w:rPr>
            </w:pPr>
            <w:r>
              <w:rPr>
                <w:rFonts w:ascii="Calibri" w:hAnsi="Calibri"/>
                <w:color w:val="000000"/>
                <w:sz w:val="18"/>
                <w:szCs w:val="18"/>
              </w:rPr>
              <w:t xml:space="preserve">Case A.1: </w:t>
            </w:r>
          </w:p>
          <w:p w14:paraId="6BC7418F" w14:textId="77777777" w:rsidR="005311B0" w:rsidRDefault="005311B0">
            <w:pPr>
              <w:rPr>
                <w:rFonts w:ascii="Calibri" w:hAnsi="Calibri"/>
                <w:sz w:val="18"/>
                <w:szCs w:val="18"/>
              </w:rPr>
            </w:pPr>
            <w:r>
              <w:rPr>
                <w:rFonts w:ascii="Calibri" w:hAnsi="Calibri"/>
                <w:color w:val="000000"/>
                <w:sz w:val="18"/>
                <w:szCs w:val="18"/>
              </w:rPr>
              <w:t xml:space="preserve">UE </w:t>
            </w:r>
            <w:r w:rsidRPr="00F452AB">
              <w:rPr>
                <w:rFonts w:ascii="Calibri" w:hAnsi="Calibri"/>
                <w:color w:val="000000"/>
                <w:sz w:val="18"/>
                <w:szCs w:val="18"/>
                <w:u w:val="single"/>
              </w:rPr>
              <w:t>deletes</w:t>
            </w:r>
            <w:r>
              <w:rPr>
                <w:rFonts w:ascii="Calibri" w:hAnsi="Calibri"/>
                <w:color w:val="000000"/>
                <w:sz w:val="18"/>
                <w:szCs w:val="18"/>
              </w:rPr>
              <w:t xml:space="preserve"> all conditional reconfiguration,</w:t>
            </w:r>
            <w:r>
              <w:rPr>
                <w:rFonts w:ascii="Calibri" w:hAnsi="Calibri"/>
                <w:color w:val="000000"/>
                <w:sz w:val="18"/>
                <w:szCs w:val="18"/>
              </w:rPr>
              <w:br/>
              <w:t xml:space="preserve">MN shall </w:t>
            </w:r>
            <w:r>
              <w:rPr>
                <w:rFonts w:ascii="Calibri" w:hAnsi="Calibri"/>
                <w:color w:val="000000"/>
                <w:sz w:val="18"/>
                <w:szCs w:val="18"/>
                <w:u w:val="single"/>
              </w:rPr>
              <w:t>not</w:t>
            </w:r>
            <w:r>
              <w:rPr>
                <w:rFonts w:ascii="Calibri" w:hAnsi="Calibri"/>
                <w:color w:val="000000"/>
                <w:sz w:val="18"/>
                <w:szCs w:val="18"/>
              </w:rPr>
              <w:t xml:space="preserve"> forward the SN’s reconfig</w:t>
            </w:r>
          </w:p>
        </w:tc>
        <w:tc>
          <w:tcPr>
            <w:tcW w:w="255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62AEB15" w14:textId="77777777" w:rsidR="005311B0" w:rsidRDefault="005311B0">
            <w:pPr>
              <w:rPr>
                <w:rFonts w:ascii="Calibri" w:hAnsi="Calibri"/>
                <w:sz w:val="18"/>
                <w:szCs w:val="18"/>
              </w:rPr>
            </w:pPr>
            <w:r>
              <w:rPr>
                <w:rFonts w:ascii="Calibri" w:hAnsi="Calibri"/>
                <w:color w:val="000000"/>
                <w:sz w:val="18"/>
                <w:szCs w:val="18"/>
              </w:rPr>
              <w:t xml:space="preserve">Case B.1: </w:t>
            </w:r>
          </w:p>
          <w:p w14:paraId="47896BCE" w14:textId="77777777" w:rsidR="005311B0" w:rsidRDefault="005311B0">
            <w:pPr>
              <w:rPr>
                <w:rFonts w:ascii="Calibri" w:hAnsi="Calibri"/>
                <w:sz w:val="18"/>
                <w:szCs w:val="18"/>
              </w:rPr>
            </w:pPr>
            <w:r>
              <w:rPr>
                <w:rFonts w:ascii="Calibri" w:hAnsi="Calibri"/>
                <w:color w:val="000000"/>
                <w:sz w:val="18"/>
                <w:szCs w:val="18"/>
              </w:rPr>
              <w:t xml:space="preserve">UE </w:t>
            </w:r>
            <w:r w:rsidRPr="00F452AB">
              <w:rPr>
                <w:rFonts w:ascii="Calibri" w:hAnsi="Calibri"/>
                <w:color w:val="000000"/>
                <w:sz w:val="18"/>
                <w:szCs w:val="18"/>
                <w:u w:val="single"/>
              </w:rPr>
              <w:t>deletes</w:t>
            </w:r>
            <w:r>
              <w:rPr>
                <w:rFonts w:ascii="Calibri" w:hAnsi="Calibri"/>
                <w:color w:val="000000"/>
                <w:sz w:val="18"/>
                <w:szCs w:val="18"/>
              </w:rPr>
              <w:t xml:space="preserve"> all conditional reconfiguration,</w:t>
            </w:r>
            <w:r>
              <w:rPr>
                <w:rFonts w:ascii="Calibri" w:hAnsi="Calibri"/>
                <w:color w:val="000000"/>
                <w:sz w:val="18"/>
                <w:szCs w:val="18"/>
              </w:rPr>
              <w:br/>
              <w:t xml:space="preserve">MN shall </w:t>
            </w:r>
            <w:r>
              <w:rPr>
                <w:rFonts w:ascii="Calibri" w:hAnsi="Calibri"/>
                <w:color w:val="000000"/>
                <w:sz w:val="18"/>
                <w:szCs w:val="18"/>
                <w:u w:val="single"/>
              </w:rPr>
              <w:t>not</w:t>
            </w:r>
            <w:r>
              <w:rPr>
                <w:rFonts w:ascii="Calibri" w:hAnsi="Calibri"/>
                <w:color w:val="000000"/>
                <w:sz w:val="18"/>
                <w:szCs w:val="18"/>
              </w:rPr>
              <w:t xml:space="preserve"> forward the SN’s reconfig</w:t>
            </w:r>
          </w:p>
        </w:tc>
        <w:tc>
          <w:tcPr>
            <w:tcW w:w="28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DF99C3E" w14:textId="77777777" w:rsidR="005311B0" w:rsidRDefault="005311B0">
            <w:pPr>
              <w:rPr>
                <w:rFonts w:ascii="Calibri" w:hAnsi="Calibri"/>
                <w:color w:val="BFBFBF"/>
                <w:sz w:val="18"/>
                <w:szCs w:val="18"/>
              </w:rPr>
            </w:pPr>
            <w:r>
              <w:rPr>
                <w:rFonts w:ascii="Calibri" w:hAnsi="Calibri"/>
                <w:color w:val="BFBFBF"/>
                <w:sz w:val="18"/>
                <w:szCs w:val="18"/>
              </w:rPr>
              <w:t>The same as B</w:t>
            </w:r>
          </w:p>
        </w:tc>
      </w:tr>
      <w:tr w:rsidR="005311B0" w14:paraId="6E092EB6" w14:textId="77777777" w:rsidTr="005311B0">
        <w:tc>
          <w:tcPr>
            <w:tcW w:w="1881"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55A1981C" w14:textId="77777777" w:rsidR="005311B0" w:rsidRDefault="005311B0">
            <w:pPr>
              <w:rPr>
                <w:rFonts w:ascii="Arial" w:hAnsi="Arial" w:cs="Arial"/>
                <w:b/>
                <w:bCs/>
                <w:color w:val="000000"/>
                <w:sz w:val="18"/>
                <w:szCs w:val="18"/>
              </w:rPr>
            </w:pPr>
            <w:r>
              <w:rPr>
                <w:rFonts w:ascii="Calibri" w:hAnsi="Calibri"/>
                <w:b/>
                <w:bCs/>
                <w:sz w:val="18"/>
                <w:szCs w:val="18"/>
              </w:rPr>
              <w:t xml:space="preserve">Case 2. </w:t>
            </w:r>
            <w:r>
              <w:rPr>
                <w:rFonts w:ascii="Calibri" w:hAnsi="Calibri"/>
                <w:b/>
                <w:bCs/>
                <w:color w:val="000000"/>
                <w:sz w:val="18"/>
                <w:szCs w:val="18"/>
              </w:rPr>
              <w:t xml:space="preserve">Legacy SCG reconfiguration </w:t>
            </w:r>
            <w:r>
              <w:rPr>
                <w:rFonts w:ascii="Calibri" w:hAnsi="Calibri"/>
                <w:b/>
                <w:bCs/>
                <w:color w:val="FF0000"/>
                <w:sz w:val="18"/>
                <w:szCs w:val="18"/>
              </w:rPr>
              <w:t>with</w:t>
            </w:r>
            <w:r>
              <w:rPr>
                <w:rFonts w:ascii="Calibri" w:hAnsi="Calibri"/>
                <w:b/>
                <w:bCs/>
                <w:color w:val="000000"/>
                <w:sz w:val="18"/>
                <w:szCs w:val="18"/>
              </w:rPr>
              <w:t xml:space="preserve"> sync via SRB1 </w:t>
            </w:r>
          </w:p>
        </w:tc>
        <w:tc>
          <w:tcPr>
            <w:tcW w:w="237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3355564B" w14:textId="77777777" w:rsidR="005311B0" w:rsidRDefault="005311B0">
            <w:pPr>
              <w:rPr>
                <w:rFonts w:ascii="Calibri" w:hAnsi="Calibri" w:cs="Calibri"/>
                <w:sz w:val="18"/>
                <w:szCs w:val="18"/>
              </w:rPr>
            </w:pPr>
            <w:r>
              <w:rPr>
                <w:rFonts w:ascii="Calibri" w:hAnsi="Calibri"/>
                <w:color w:val="000000"/>
                <w:sz w:val="18"/>
                <w:szCs w:val="18"/>
              </w:rPr>
              <w:t>Case A.2:</w:t>
            </w:r>
          </w:p>
          <w:p w14:paraId="6BDC5934" w14:textId="77777777" w:rsidR="005311B0" w:rsidRDefault="005311B0">
            <w:pPr>
              <w:rPr>
                <w:rFonts w:ascii="Calibri" w:hAnsi="Calibri"/>
                <w:sz w:val="18"/>
                <w:szCs w:val="18"/>
              </w:rPr>
            </w:pPr>
            <w:r>
              <w:rPr>
                <w:rFonts w:ascii="Calibri" w:hAnsi="Calibri"/>
                <w:color w:val="000000"/>
                <w:sz w:val="18"/>
                <w:szCs w:val="18"/>
              </w:rPr>
              <w:t>UE keeps original MN’s reconfig,</w:t>
            </w:r>
            <w:r>
              <w:rPr>
                <w:rFonts w:ascii="Calibri" w:hAnsi="Calibri"/>
                <w:color w:val="000000"/>
                <w:sz w:val="18"/>
                <w:szCs w:val="18"/>
              </w:rPr>
              <w:br/>
            </w:r>
            <w:r>
              <w:rPr>
                <w:rFonts w:ascii="Calibri" w:hAnsi="Calibri"/>
                <w:color w:val="000000"/>
                <w:sz w:val="18"/>
                <w:szCs w:val="18"/>
              </w:rPr>
              <w:lastRenderedPageBreak/>
              <w:t>MN shall forward the SN’s reconfig (legacy handling)</w:t>
            </w:r>
          </w:p>
        </w:tc>
        <w:tc>
          <w:tcPr>
            <w:tcW w:w="2551" w:type="dxa"/>
            <w:tcBorders>
              <w:top w:val="nil"/>
              <w:left w:val="nil"/>
              <w:bottom w:val="single" w:sz="8" w:space="0" w:color="auto"/>
              <w:right w:val="single" w:sz="8" w:space="0" w:color="auto"/>
            </w:tcBorders>
            <w:shd w:val="clear" w:color="auto" w:fill="BDD6EE"/>
            <w:tcMar>
              <w:top w:w="0" w:type="dxa"/>
              <w:left w:w="108" w:type="dxa"/>
              <w:bottom w:w="0" w:type="dxa"/>
              <w:right w:w="108" w:type="dxa"/>
            </w:tcMar>
            <w:hideMark/>
          </w:tcPr>
          <w:p w14:paraId="7F57178C" w14:textId="77777777" w:rsidR="005311B0" w:rsidRDefault="005311B0">
            <w:pPr>
              <w:rPr>
                <w:rFonts w:ascii="Calibri" w:hAnsi="Calibri"/>
                <w:sz w:val="18"/>
                <w:szCs w:val="18"/>
              </w:rPr>
            </w:pPr>
            <w:r>
              <w:rPr>
                <w:rFonts w:ascii="Calibri" w:hAnsi="Calibri"/>
                <w:color w:val="000000"/>
                <w:sz w:val="18"/>
                <w:szCs w:val="18"/>
              </w:rPr>
              <w:lastRenderedPageBreak/>
              <w:t xml:space="preserve">Case B.2: </w:t>
            </w:r>
          </w:p>
          <w:p w14:paraId="4B2F5935" w14:textId="77777777" w:rsidR="005311B0" w:rsidRDefault="005311B0">
            <w:pPr>
              <w:rPr>
                <w:rFonts w:ascii="Calibri" w:hAnsi="Calibri"/>
                <w:sz w:val="18"/>
                <w:szCs w:val="18"/>
              </w:rPr>
            </w:pPr>
            <w:r>
              <w:rPr>
                <w:rFonts w:ascii="Calibri" w:hAnsi="Calibri"/>
                <w:color w:val="000000"/>
                <w:sz w:val="18"/>
                <w:szCs w:val="18"/>
              </w:rPr>
              <w:t xml:space="preserve">UE </w:t>
            </w:r>
            <w:r w:rsidRPr="00F452AB">
              <w:rPr>
                <w:rFonts w:ascii="Calibri" w:hAnsi="Calibri"/>
                <w:color w:val="000000"/>
                <w:sz w:val="18"/>
                <w:szCs w:val="18"/>
                <w:u w:val="single"/>
              </w:rPr>
              <w:t>deletes</w:t>
            </w:r>
            <w:r>
              <w:rPr>
                <w:rFonts w:ascii="Calibri" w:hAnsi="Calibri"/>
                <w:color w:val="000000"/>
                <w:sz w:val="18"/>
                <w:szCs w:val="18"/>
              </w:rPr>
              <w:t xml:space="preserve"> all conditional reconfiguration,</w:t>
            </w:r>
            <w:r>
              <w:rPr>
                <w:rFonts w:ascii="Calibri" w:hAnsi="Calibri"/>
                <w:color w:val="000000"/>
                <w:sz w:val="18"/>
                <w:szCs w:val="18"/>
              </w:rPr>
              <w:br/>
            </w:r>
            <w:r>
              <w:rPr>
                <w:rFonts w:ascii="Calibri" w:hAnsi="Calibri"/>
                <w:color w:val="000000"/>
                <w:sz w:val="18"/>
                <w:szCs w:val="18"/>
              </w:rPr>
              <w:lastRenderedPageBreak/>
              <w:t>MN shall forward the SN’s reconfig (legacy handling)</w:t>
            </w:r>
          </w:p>
        </w:tc>
        <w:tc>
          <w:tcPr>
            <w:tcW w:w="2835" w:type="dxa"/>
            <w:tcBorders>
              <w:top w:val="nil"/>
              <w:left w:val="nil"/>
              <w:bottom w:val="single" w:sz="8" w:space="0" w:color="auto"/>
              <w:right w:val="single" w:sz="8" w:space="0" w:color="auto"/>
            </w:tcBorders>
            <w:shd w:val="clear" w:color="auto" w:fill="BDD6EE"/>
            <w:tcMar>
              <w:top w:w="0" w:type="dxa"/>
              <w:left w:w="108" w:type="dxa"/>
              <w:bottom w:w="0" w:type="dxa"/>
              <w:right w:w="108" w:type="dxa"/>
            </w:tcMar>
            <w:hideMark/>
          </w:tcPr>
          <w:p w14:paraId="727E3020" w14:textId="77777777" w:rsidR="005311B0" w:rsidRDefault="005311B0">
            <w:pPr>
              <w:rPr>
                <w:rFonts w:ascii="Calibri" w:hAnsi="Calibri"/>
                <w:color w:val="BFBFBF"/>
                <w:sz w:val="18"/>
                <w:szCs w:val="18"/>
              </w:rPr>
            </w:pPr>
            <w:r>
              <w:rPr>
                <w:rFonts w:ascii="Calibri" w:hAnsi="Calibri"/>
                <w:color w:val="BFBFBF"/>
                <w:sz w:val="18"/>
                <w:szCs w:val="18"/>
              </w:rPr>
              <w:lastRenderedPageBreak/>
              <w:t>The same as B</w:t>
            </w:r>
          </w:p>
        </w:tc>
      </w:tr>
      <w:tr w:rsidR="005311B0" w14:paraId="02D2BDE0" w14:textId="77777777" w:rsidTr="005311B0">
        <w:tc>
          <w:tcPr>
            <w:tcW w:w="1881"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151FC51" w14:textId="77777777" w:rsidR="005311B0" w:rsidRDefault="005311B0">
            <w:pPr>
              <w:rPr>
                <w:rFonts w:ascii="Arial" w:hAnsi="Arial" w:cs="Arial"/>
                <w:b/>
                <w:bCs/>
                <w:color w:val="000000"/>
                <w:sz w:val="18"/>
                <w:szCs w:val="18"/>
              </w:rPr>
            </w:pPr>
            <w:r>
              <w:rPr>
                <w:rFonts w:ascii="Calibri" w:hAnsi="Calibri"/>
                <w:b/>
                <w:bCs/>
                <w:sz w:val="18"/>
                <w:szCs w:val="18"/>
              </w:rPr>
              <w:t xml:space="preserve">Case 3. </w:t>
            </w:r>
            <w:r>
              <w:rPr>
                <w:rFonts w:ascii="Calibri" w:hAnsi="Calibri"/>
                <w:b/>
                <w:bCs/>
                <w:color w:val="000000"/>
                <w:sz w:val="18"/>
                <w:szCs w:val="18"/>
              </w:rPr>
              <w:t xml:space="preserve">Legacy SCG reconfiguration </w:t>
            </w:r>
            <w:r>
              <w:rPr>
                <w:rFonts w:ascii="Calibri" w:hAnsi="Calibri"/>
                <w:b/>
                <w:bCs/>
                <w:color w:val="FF0000"/>
                <w:sz w:val="18"/>
                <w:szCs w:val="18"/>
              </w:rPr>
              <w:t>with</w:t>
            </w:r>
            <w:r>
              <w:rPr>
                <w:rFonts w:ascii="Calibri" w:hAnsi="Calibri"/>
                <w:b/>
                <w:bCs/>
                <w:color w:val="000000"/>
                <w:sz w:val="18"/>
                <w:szCs w:val="18"/>
              </w:rPr>
              <w:t xml:space="preserve"> sync via SRB3</w:t>
            </w:r>
          </w:p>
          <w:p w14:paraId="7149A788" w14:textId="77777777" w:rsidR="005311B0" w:rsidRDefault="005311B0">
            <w:pPr>
              <w:rPr>
                <w:rFonts w:ascii="Calibri" w:hAnsi="Calibri" w:cs="Calibri"/>
                <w:b/>
                <w:bCs/>
                <w:sz w:val="18"/>
                <w:szCs w:val="18"/>
              </w:rPr>
            </w:pPr>
          </w:p>
        </w:tc>
        <w:tc>
          <w:tcPr>
            <w:tcW w:w="237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31AD1334" w14:textId="77777777" w:rsidR="005311B0" w:rsidRDefault="005311B0">
            <w:pPr>
              <w:rPr>
                <w:rFonts w:ascii="Calibri" w:hAnsi="Calibri"/>
                <w:sz w:val="18"/>
                <w:szCs w:val="18"/>
              </w:rPr>
            </w:pPr>
            <w:r>
              <w:rPr>
                <w:rFonts w:ascii="Calibri" w:hAnsi="Calibri"/>
                <w:color w:val="000000"/>
                <w:sz w:val="18"/>
                <w:szCs w:val="18"/>
              </w:rPr>
              <w:t>Case A.3:</w:t>
            </w:r>
          </w:p>
          <w:p w14:paraId="57C68309" w14:textId="77777777" w:rsidR="005311B0" w:rsidRDefault="005311B0">
            <w:pPr>
              <w:rPr>
                <w:rFonts w:ascii="Calibri" w:hAnsi="Calibri"/>
                <w:sz w:val="18"/>
                <w:szCs w:val="18"/>
              </w:rPr>
            </w:pPr>
            <w:r>
              <w:rPr>
                <w:rFonts w:ascii="Calibri" w:hAnsi="Calibri"/>
                <w:color w:val="000000"/>
                <w:sz w:val="18"/>
                <w:szCs w:val="18"/>
              </w:rPr>
              <w:t>UE keeps original MN’s reconfig,</w:t>
            </w:r>
            <w:r>
              <w:rPr>
                <w:rFonts w:ascii="Calibri" w:hAnsi="Calibri"/>
                <w:color w:val="000000"/>
                <w:sz w:val="18"/>
                <w:szCs w:val="18"/>
              </w:rPr>
              <w:br/>
              <w:t xml:space="preserve">MN shall </w:t>
            </w:r>
            <w:r>
              <w:rPr>
                <w:rFonts w:ascii="Calibri" w:hAnsi="Calibri"/>
                <w:color w:val="000000"/>
                <w:sz w:val="18"/>
                <w:szCs w:val="18"/>
                <w:u w:val="single"/>
              </w:rPr>
              <w:t>not</w:t>
            </w:r>
            <w:r>
              <w:rPr>
                <w:rFonts w:ascii="Calibri" w:hAnsi="Calibri"/>
                <w:color w:val="000000"/>
                <w:sz w:val="18"/>
                <w:szCs w:val="18"/>
              </w:rPr>
              <w:t xml:space="preserve"> forward the SN’s reconfig</w:t>
            </w:r>
          </w:p>
        </w:tc>
        <w:tc>
          <w:tcPr>
            <w:tcW w:w="255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59DE59B" w14:textId="77777777" w:rsidR="005311B0" w:rsidRDefault="005311B0">
            <w:pPr>
              <w:rPr>
                <w:rFonts w:ascii="Calibri" w:hAnsi="Calibri"/>
                <w:sz w:val="18"/>
                <w:szCs w:val="18"/>
              </w:rPr>
            </w:pPr>
            <w:r>
              <w:rPr>
                <w:rFonts w:ascii="Calibri" w:hAnsi="Calibri"/>
                <w:color w:val="000000"/>
                <w:sz w:val="18"/>
                <w:szCs w:val="18"/>
              </w:rPr>
              <w:t>Case B.3:</w:t>
            </w:r>
          </w:p>
          <w:p w14:paraId="457E5662" w14:textId="77777777" w:rsidR="005311B0" w:rsidRDefault="005311B0">
            <w:pPr>
              <w:rPr>
                <w:rFonts w:ascii="Calibri" w:hAnsi="Calibri"/>
                <w:sz w:val="18"/>
                <w:szCs w:val="18"/>
              </w:rPr>
            </w:pPr>
            <w:r>
              <w:rPr>
                <w:rFonts w:ascii="Calibri" w:hAnsi="Calibri"/>
                <w:color w:val="000000"/>
                <w:sz w:val="18"/>
                <w:szCs w:val="18"/>
              </w:rPr>
              <w:t xml:space="preserve">UE </w:t>
            </w:r>
            <w:r w:rsidRPr="00F452AB">
              <w:rPr>
                <w:rFonts w:ascii="Calibri" w:hAnsi="Calibri"/>
                <w:color w:val="000000"/>
                <w:sz w:val="18"/>
                <w:szCs w:val="18"/>
                <w:u w:val="single"/>
              </w:rPr>
              <w:t>deletes</w:t>
            </w:r>
            <w:r>
              <w:rPr>
                <w:rFonts w:ascii="Calibri" w:hAnsi="Calibri"/>
                <w:color w:val="000000"/>
                <w:sz w:val="18"/>
                <w:szCs w:val="18"/>
              </w:rPr>
              <w:t xml:space="preserve"> all conditional reconfiguration,</w:t>
            </w:r>
            <w:r>
              <w:rPr>
                <w:rFonts w:ascii="Calibri" w:hAnsi="Calibri"/>
                <w:color w:val="000000"/>
                <w:sz w:val="18"/>
                <w:szCs w:val="18"/>
              </w:rPr>
              <w:br/>
              <w:t xml:space="preserve">MN shall </w:t>
            </w:r>
            <w:r>
              <w:rPr>
                <w:rFonts w:ascii="Calibri" w:hAnsi="Calibri"/>
                <w:color w:val="000000"/>
                <w:sz w:val="18"/>
                <w:szCs w:val="18"/>
                <w:u w:val="single"/>
              </w:rPr>
              <w:t>not</w:t>
            </w:r>
            <w:r>
              <w:rPr>
                <w:rFonts w:ascii="Calibri" w:hAnsi="Calibri"/>
                <w:color w:val="000000"/>
                <w:sz w:val="18"/>
                <w:szCs w:val="18"/>
              </w:rPr>
              <w:t xml:space="preserve"> forward the SN’s reconfig</w:t>
            </w:r>
          </w:p>
          <w:p w14:paraId="1AC4B6CF" w14:textId="77777777" w:rsidR="005311B0" w:rsidRDefault="005311B0">
            <w:pPr>
              <w:rPr>
                <w:rFonts w:ascii="Calibri" w:hAnsi="Calibri"/>
                <w:sz w:val="18"/>
                <w:szCs w:val="18"/>
              </w:rPr>
            </w:pPr>
          </w:p>
        </w:tc>
        <w:tc>
          <w:tcPr>
            <w:tcW w:w="2835" w:type="dxa"/>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A5E870" w14:textId="77777777" w:rsidR="005311B0" w:rsidRDefault="005311B0">
            <w:pPr>
              <w:rPr>
                <w:rFonts w:ascii="Calibri" w:hAnsi="Calibri"/>
                <w:color w:val="BFBFBF"/>
                <w:sz w:val="18"/>
                <w:szCs w:val="18"/>
              </w:rPr>
            </w:pPr>
            <w:r>
              <w:rPr>
                <w:rFonts w:ascii="Calibri" w:hAnsi="Calibri"/>
                <w:color w:val="BFBFBF"/>
                <w:sz w:val="18"/>
                <w:szCs w:val="18"/>
              </w:rPr>
              <w:t>The same as B</w:t>
            </w:r>
          </w:p>
        </w:tc>
      </w:tr>
      <w:tr w:rsidR="005311B0" w14:paraId="4080C398" w14:textId="77777777" w:rsidTr="005311B0">
        <w:tc>
          <w:tcPr>
            <w:tcW w:w="1881"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69CADBCA" w14:textId="77777777" w:rsidR="005311B0" w:rsidRDefault="005311B0">
            <w:pPr>
              <w:rPr>
                <w:rFonts w:ascii="Arial" w:hAnsi="Arial" w:cs="Arial"/>
                <w:b/>
                <w:bCs/>
                <w:color w:val="000000"/>
                <w:sz w:val="18"/>
                <w:szCs w:val="18"/>
              </w:rPr>
            </w:pPr>
            <w:r>
              <w:rPr>
                <w:rFonts w:ascii="Calibri" w:hAnsi="Calibri"/>
                <w:b/>
                <w:bCs/>
                <w:sz w:val="18"/>
                <w:szCs w:val="18"/>
              </w:rPr>
              <w:t xml:space="preserve">Case 4. </w:t>
            </w:r>
            <w:r>
              <w:rPr>
                <w:rFonts w:ascii="Calibri" w:hAnsi="Calibri"/>
                <w:b/>
                <w:bCs/>
                <w:color w:val="000000"/>
                <w:sz w:val="18"/>
                <w:szCs w:val="18"/>
              </w:rPr>
              <w:t xml:space="preserve">Legacy SCG reconfiguration </w:t>
            </w:r>
            <w:r>
              <w:rPr>
                <w:rFonts w:ascii="Calibri" w:hAnsi="Calibri"/>
                <w:b/>
                <w:bCs/>
                <w:color w:val="FF0000"/>
                <w:sz w:val="18"/>
                <w:szCs w:val="18"/>
              </w:rPr>
              <w:t>without</w:t>
            </w:r>
            <w:r>
              <w:rPr>
                <w:rFonts w:ascii="Calibri" w:hAnsi="Calibri"/>
                <w:b/>
                <w:bCs/>
                <w:color w:val="000000"/>
                <w:sz w:val="18"/>
                <w:szCs w:val="18"/>
              </w:rPr>
              <w:t xml:space="preserve"> sync via SRB1 </w:t>
            </w:r>
          </w:p>
        </w:tc>
        <w:tc>
          <w:tcPr>
            <w:tcW w:w="2372"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65ED50A" w14:textId="77777777" w:rsidR="005311B0" w:rsidRDefault="005311B0">
            <w:pPr>
              <w:rPr>
                <w:rFonts w:ascii="Calibri" w:hAnsi="Calibri" w:cs="Calibri"/>
                <w:sz w:val="18"/>
                <w:szCs w:val="18"/>
              </w:rPr>
            </w:pPr>
            <w:r>
              <w:rPr>
                <w:rFonts w:ascii="Calibri" w:hAnsi="Calibri"/>
                <w:color w:val="000000"/>
                <w:sz w:val="18"/>
                <w:szCs w:val="18"/>
              </w:rPr>
              <w:t>Case A.4:</w:t>
            </w:r>
          </w:p>
          <w:p w14:paraId="1F1FA665" w14:textId="77777777" w:rsidR="005311B0" w:rsidRDefault="005311B0">
            <w:pPr>
              <w:rPr>
                <w:rFonts w:ascii="Calibri" w:hAnsi="Calibri"/>
                <w:sz w:val="18"/>
                <w:szCs w:val="18"/>
              </w:rPr>
            </w:pPr>
            <w:r>
              <w:rPr>
                <w:rFonts w:ascii="Calibri" w:hAnsi="Calibri"/>
                <w:color w:val="000000"/>
                <w:sz w:val="18"/>
                <w:szCs w:val="18"/>
              </w:rPr>
              <w:t>UE keeps original MN’s reconfig,</w:t>
            </w:r>
            <w:r>
              <w:rPr>
                <w:rFonts w:ascii="Calibri" w:hAnsi="Calibri"/>
                <w:color w:val="000000"/>
                <w:sz w:val="18"/>
                <w:szCs w:val="18"/>
              </w:rPr>
              <w:br/>
              <w:t>MN shall forward the SN’s reconfig (legacy handling)</w:t>
            </w:r>
          </w:p>
        </w:tc>
        <w:tc>
          <w:tcPr>
            <w:tcW w:w="2551"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1C3F284A" w14:textId="77777777" w:rsidR="005311B0" w:rsidRDefault="005311B0">
            <w:pPr>
              <w:rPr>
                <w:rFonts w:ascii="Calibri" w:hAnsi="Calibri"/>
                <w:sz w:val="18"/>
                <w:szCs w:val="18"/>
              </w:rPr>
            </w:pPr>
            <w:r>
              <w:rPr>
                <w:rFonts w:ascii="Calibri" w:hAnsi="Calibri"/>
                <w:color w:val="000000"/>
                <w:sz w:val="18"/>
                <w:szCs w:val="18"/>
              </w:rPr>
              <w:t>Case B.4:</w:t>
            </w:r>
          </w:p>
          <w:p w14:paraId="3DF9702E" w14:textId="77777777" w:rsidR="005311B0" w:rsidRDefault="005311B0">
            <w:pPr>
              <w:rPr>
                <w:rFonts w:ascii="Calibri" w:hAnsi="Calibri"/>
                <w:sz w:val="18"/>
                <w:szCs w:val="18"/>
              </w:rPr>
            </w:pPr>
            <w:r>
              <w:rPr>
                <w:rFonts w:ascii="Calibri" w:hAnsi="Calibri"/>
                <w:color w:val="000000"/>
                <w:sz w:val="18"/>
                <w:szCs w:val="18"/>
              </w:rPr>
              <w:t>UE keeps original MN’s reconfig,</w:t>
            </w:r>
            <w:r>
              <w:rPr>
                <w:rFonts w:ascii="Calibri" w:hAnsi="Calibri"/>
                <w:color w:val="000000"/>
                <w:sz w:val="18"/>
                <w:szCs w:val="18"/>
              </w:rPr>
              <w:br/>
              <w:t>MN shall forward the SN’s reconfig (legacy handling)</w:t>
            </w:r>
          </w:p>
        </w:tc>
        <w:tc>
          <w:tcPr>
            <w:tcW w:w="2835" w:type="dxa"/>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hideMark/>
          </w:tcPr>
          <w:p w14:paraId="255171A0" w14:textId="77777777" w:rsidR="005311B0" w:rsidRDefault="005311B0">
            <w:pPr>
              <w:rPr>
                <w:rFonts w:ascii="Calibri" w:hAnsi="Calibri"/>
                <w:color w:val="BFBFBF"/>
                <w:sz w:val="18"/>
                <w:szCs w:val="18"/>
              </w:rPr>
            </w:pPr>
            <w:r>
              <w:rPr>
                <w:rFonts w:ascii="Calibri" w:hAnsi="Calibri"/>
                <w:color w:val="BFBFBF"/>
                <w:sz w:val="18"/>
                <w:szCs w:val="18"/>
              </w:rPr>
              <w:t>The same as B</w:t>
            </w:r>
          </w:p>
        </w:tc>
      </w:tr>
      <w:tr w:rsidR="005311B0" w14:paraId="046E10E4" w14:textId="77777777" w:rsidTr="005311B0">
        <w:tc>
          <w:tcPr>
            <w:tcW w:w="1881" w:type="dxa"/>
            <w:tcBorders>
              <w:top w:val="nil"/>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26DC681A" w14:textId="77777777" w:rsidR="005311B0" w:rsidRDefault="005311B0">
            <w:pPr>
              <w:rPr>
                <w:rFonts w:ascii="Arial" w:hAnsi="Arial" w:cs="Arial"/>
                <w:b/>
                <w:bCs/>
                <w:color w:val="000000"/>
                <w:sz w:val="18"/>
                <w:szCs w:val="18"/>
              </w:rPr>
            </w:pPr>
            <w:r>
              <w:rPr>
                <w:rFonts w:ascii="Calibri" w:hAnsi="Calibri"/>
                <w:b/>
                <w:bCs/>
                <w:sz w:val="18"/>
                <w:szCs w:val="18"/>
              </w:rPr>
              <w:t xml:space="preserve">Case 5. </w:t>
            </w:r>
            <w:r>
              <w:rPr>
                <w:rFonts w:ascii="Calibri" w:hAnsi="Calibri"/>
                <w:b/>
                <w:bCs/>
                <w:color w:val="000000"/>
                <w:sz w:val="18"/>
                <w:szCs w:val="18"/>
              </w:rPr>
              <w:t xml:space="preserve">Legacy SCG reconfiguration </w:t>
            </w:r>
            <w:r>
              <w:rPr>
                <w:rFonts w:ascii="Calibri" w:hAnsi="Calibri"/>
                <w:b/>
                <w:bCs/>
                <w:color w:val="FF0000"/>
                <w:sz w:val="18"/>
                <w:szCs w:val="18"/>
              </w:rPr>
              <w:t>without</w:t>
            </w:r>
            <w:r>
              <w:rPr>
                <w:rFonts w:ascii="Calibri" w:hAnsi="Calibri"/>
                <w:b/>
                <w:bCs/>
                <w:color w:val="000000"/>
                <w:sz w:val="18"/>
                <w:szCs w:val="18"/>
              </w:rPr>
              <w:t xml:space="preserve"> sync via SRB3</w:t>
            </w:r>
          </w:p>
        </w:tc>
        <w:tc>
          <w:tcPr>
            <w:tcW w:w="237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709264AA" w14:textId="77777777" w:rsidR="005311B0" w:rsidRDefault="005311B0">
            <w:pPr>
              <w:rPr>
                <w:rFonts w:ascii="Calibri" w:hAnsi="Calibri" w:cs="Calibri"/>
                <w:sz w:val="18"/>
                <w:szCs w:val="18"/>
              </w:rPr>
            </w:pPr>
            <w:r>
              <w:rPr>
                <w:rFonts w:ascii="Calibri" w:hAnsi="Calibri"/>
                <w:color w:val="000000"/>
                <w:sz w:val="18"/>
                <w:szCs w:val="18"/>
              </w:rPr>
              <w:t>Case A.5:</w:t>
            </w:r>
          </w:p>
          <w:p w14:paraId="3B2CC8F1" w14:textId="77777777" w:rsidR="005311B0" w:rsidRDefault="005311B0">
            <w:pPr>
              <w:rPr>
                <w:rFonts w:ascii="Calibri" w:hAnsi="Calibri"/>
                <w:sz w:val="18"/>
                <w:szCs w:val="18"/>
              </w:rPr>
            </w:pPr>
            <w:r>
              <w:rPr>
                <w:rFonts w:ascii="Calibri" w:hAnsi="Calibri"/>
                <w:color w:val="000000"/>
                <w:sz w:val="18"/>
                <w:szCs w:val="18"/>
              </w:rPr>
              <w:t>UE keeps original MN’s reconfig,</w:t>
            </w:r>
            <w:r>
              <w:rPr>
                <w:rFonts w:ascii="Calibri" w:hAnsi="Calibri"/>
                <w:color w:val="000000"/>
                <w:sz w:val="18"/>
                <w:szCs w:val="18"/>
              </w:rPr>
              <w:br/>
              <w:t xml:space="preserve">MN shall </w:t>
            </w:r>
            <w:r>
              <w:rPr>
                <w:rFonts w:ascii="Calibri" w:hAnsi="Calibri"/>
                <w:color w:val="000000"/>
                <w:sz w:val="18"/>
                <w:szCs w:val="18"/>
                <w:u w:val="single"/>
              </w:rPr>
              <w:t>not</w:t>
            </w:r>
            <w:r>
              <w:rPr>
                <w:rFonts w:ascii="Calibri" w:hAnsi="Calibri"/>
                <w:color w:val="000000"/>
                <w:sz w:val="18"/>
                <w:szCs w:val="18"/>
              </w:rPr>
              <w:t xml:space="preserve"> forward the SN’s reconfig</w:t>
            </w:r>
          </w:p>
        </w:tc>
        <w:tc>
          <w:tcPr>
            <w:tcW w:w="2551"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402590B4" w14:textId="77777777" w:rsidR="005311B0" w:rsidRDefault="005311B0">
            <w:pPr>
              <w:rPr>
                <w:rFonts w:ascii="Calibri" w:hAnsi="Calibri"/>
                <w:sz w:val="18"/>
                <w:szCs w:val="18"/>
              </w:rPr>
            </w:pPr>
            <w:r>
              <w:rPr>
                <w:rFonts w:ascii="Calibri" w:hAnsi="Calibri"/>
                <w:color w:val="000000"/>
                <w:sz w:val="18"/>
                <w:szCs w:val="18"/>
              </w:rPr>
              <w:t>Case B.5:</w:t>
            </w:r>
          </w:p>
          <w:p w14:paraId="7C2D2A58" w14:textId="77777777" w:rsidR="005311B0" w:rsidRDefault="005311B0">
            <w:pPr>
              <w:rPr>
                <w:rFonts w:ascii="Calibri" w:hAnsi="Calibri"/>
                <w:sz w:val="18"/>
                <w:szCs w:val="18"/>
              </w:rPr>
            </w:pPr>
            <w:r>
              <w:rPr>
                <w:rFonts w:ascii="Calibri" w:hAnsi="Calibri"/>
                <w:color w:val="000000"/>
                <w:sz w:val="18"/>
                <w:szCs w:val="18"/>
              </w:rPr>
              <w:t>UE keeps original MN’s reconfig,</w:t>
            </w:r>
            <w:r>
              <w:rPr>
                <w:rFonts w:ascii="Calibri" w:hAnsi="Calibri"/>
                <w:color w:val="000000"/>
                <w:sz w:val="18"/>
                <w:szCs w:val="18"/>
              </w:rPr>
              <w:br/>
              <w:t xml:space="preserve">MN shall </w:t>
            </w:r>
            <w:r>
              <w:rPr>
                <w:rFonts w:ascii="Calibri" w:hAnsi="Calibri"/>
                <w:color w:val="000000"/>
                <w:sz w:val="18"/>
                <w:szCs w:val="18"/>
                <w:u w:val="single"/>
              </w:rPr>
              <w:t>not</w:t>
            </w:r>
            <w:r>
              <w:rPr>
                <w:rFonts w:ascii="Calibri" w:hAnsi="Calibri"/>
                <w:color w:val="000000"/>
                <w:sz w:val="18"/>
                <w:szCs w:val="18"/>
              </w:rPr>
              <w:t xml:space="preserve"> forward the SN’s reconfig</w:t>
            </w:r>
          </w:p>
        </w:tc>
        <w:tc>
          <w:tcPr>
            <w:tcW w:w="2835" w:type="dxa"/>
            <w:tcBorders>
              <w:top w:val="nil"/>
              <w:left w:val="nil"/>
              <w:bottom w:val="single" w:sz="8" w:space="0" w:color="auto"/>
              <w:right w:val="single" w:sz="8" w:space="0" w:color="auto"/>
            </w:tcBorders>
            <w:shd w:val="clear" w:color="auto" w:fill="C5E0B3"/>
            <w:tcMar>
              <w:top w:w="0" w:type="dxa"/>
              <w:left w:w="108" w:type="dxa"/>
              <w:bottom w:w="0" w:type="dxa"/>
              <w:right w:w="108" w:type="dxa"/>
            </w:tcMar>
            <w:hideMark/>
          </w:tcPr>
          <w:p w14:paraId="6BBE73D1" w14:textId="77777777" w:rsidR="005311B0" w:rsidRDefault="005311B0">
            <w:pPr>
              <w:rPr>
                <w:rFonts w:ascii="Calibri" w:hAnsi="Calibri"/>
                <w:color w:val="BFBFBF"/>
                <w:sz w:val="18"/>
                <w:szCs w:val="18"/>
              </w:rPr>
            </w:pPr>
            <w:r>
              <w:rPr>
                <w:rFonts w:ascii="Calibri" w:hAnsi="Calibri"/>
                <w:color w:val="BFBFBF"/>
                <w:sz w:val="18"/>
                <w:szCs w:val="18"/>
              </w:rPr>
              <w:t>The same as B</w:t>
            </w:r>
          </w:p>
        </w:tc>
      </w:tr>
    </w:tbl>
    <w:p w14:paraId="585247A9" w14:textId="312A115A" w:rsidR="005311B0" w:rsidRDefault="005311B0" w:rsidP="008559D6"/>
    <w:p w14:paraId="789ECE2B" w14:textId="77777777" w:rsidR="00BE6ADB" w:rsidRDefault="00BE6ADB" w:rsidP="00BE6ADB">
      <w:r>
        <w:t>Based on this, we can make two observations:</w:t>
      </w:r>
    </w:p>
    <w:p w14:paraId="7F583251" w14:textId="77777777" w:rsidR="00BE6ADB" w:rsidRPr="00F452AB" w:rsidRDefault="00BE6ADB" w:rsidP="00BE6ADB">
      <w:pPr>
        <w:rPr>
          <w:b/>
          <w:bCs/>
        </w:rPr>
      </w:pPr>
      <w:r w:rsidRPr="00F452AB">
        <w:rPr>
          <w:b/>
          <w:bCs/>
        </w:rPr>
        <w:t>Observation 1: There are 3, not only 2 combinations of the special results of SCG reconfiguration: MN’s conditional config is deleted and the SCG config does not need to be forwarded to the UE; MN’s conditional config remains in the UE and the SCG config does not need to be forwarded to the UE; MN’s conditional config is deleted and the SCG config must be forwarded to the UE (there is also the “legacy handling”, i.e. where the MN’s conditional config remains in the UE and the MN forwards the received SCG config to the UE).</w:t>
      </w:r>
    </w:p>
    <w:p w14:paraId="758F4070" w14:textId="3FC1927B" w:rsidR="00BE6ADB" w:rsidRPr="00F452AB" w:rsidRDefault="00BE6ADB" w:rsidP="00BE6ADB">
      <w:pPr>
        <w:rPr>
          <w:b/>
          <w:bCs/>
        </w:rPr>
      </w:pPr>
      <w:r w:rsidRPr="00F452AB">
        <w:rPr>
          <w:b/>
          <w:bCs/>
        </w:rPr>
        <w:t xml:space="preserve">Observation 2: General case ‘C’ is the same as case ‘B’ </w:t>
      </w:r>
      <w:r w:rsidR="006F5DE6" w:rsidRPr="006F5DE6">
        <w:rPr>
          <w:b/>
          <w:bCs/>
        </w:rPr>
        <w:t xml:space="preserve">with respect to the MN handling </w:t>
      </w:r>
      <w:r w:rsidRPr="00F452AB">
        <w:rPr>
          <w:b/>
          <w:bCs/>
        </w:rPr>
        <w:t>and thus can be skipped in further discussion.</w:t>
      </w:r>
    </w:p>
    <w:p w14:paraId="10BC0385" w14:textId="2DDA4B02" w:rsidR="009B1765" w:rsidRDefault="009B1765" w:rsidP="009B1765">
      <w:r>
        <w:t xml:space="preserve">When looking at the table, one may consider whether the general cases 3 and 5 should even be considered: the problem of SCG reconfiguration exists since Rel.16, where mechanism of CHO with DC at the source were introduced. No special “notification” was designed then, which in practice means that RAN3 assumed that if/when the SN is informed about </w:t>
      </w:r>
      <w:r w:rsidR="003475A6">
        <w:t xml:space="preserve">the </w:t>
      </w:r>
      <w:r w:rsidR="005806EE">
        <w:t xml:space="preserve">start of </w:t>
      </w:r>
      <w:r>
        <w:t>CHO, it should stop using SRB3. If this logic is extended, cases 3 and 5 can be eliminated. However, it will not help: the extra scenario B.2 still remains.</w:t>
      </w:r>
    </w:p>
    <w:p w14:paraId="17DFCE39" w14:textId="77777777" w:rsidR="009B1765" w:rsidRPr="00280A6B" w:rsidRDefault="009B1765" w:rsidP="009B1765">
      <w:pPr>
        <w:rPr>
          <w:b/>
          <w:bCs/>
        </w:rPr>
      </w:pPr>
      <w:r w:rsidRPr="00280A6B">
        <w:rPr>
          <w:b/>
          <w:bCs/>
        </w:rPr>
        <w:t>Observation 3: Even though cases 3 and 5 could be removed (so far, it was effectively assumed the SN should not use SRB3 for reconfiguration of UE, if it is informed about started CHO or MN-initiated CPC), it does not help RAN3 signalling – there are still 3 handlings (plus the legacy handling).</w:t>
      </w:r>
    </w:p>
    <w:p w14:paraId="15050EDD" w14:textId="08260D0A" w:rsidR="00BE6ADB" w:rsidRDefault="00BE6ADB" w:rsidP="008559D6">
      <w:r>
        <w:t>The solution agreed at RAN3 #117 adds a notification in the form of a new IE with a single code-point. The description is as follows:</w:t>
      </w:r>
    </w:p>
    <w:p w14:paraId="0F0E7197" w14:textId="77777777" w:rsidR="00BE6ADB" w:rsidRDefault="00BE6ADB" w:rsidP="00BE6ADB">
      <w:pPr>
        <w:pBdr>
          <w:top w:val="single" w:sz="4" w:space="1" w:color="auto"/>
          <w:left w:val="single" w:sz="4" w:space="4" w:color="auto"/>
          <w:bottom w:val="single" w:sz="4" w:space="1" w:color="auto"/>
          <w:right w:val="single" w:sz="4" w:space="4" w:color="auto"/>
        </w:pBdr>
        <w:rPr>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i/>
          <w:iCs/>
        </w:rPr>
        <w:t xml:space="preserve"> Notification</w:t>
      </w:r>
      <w:r>
        <w:rPr>
          <w:rFonts w:eastAsia="Malgun Gothic"/>
        </w:rPr>
        <w:t xml:space="preserve"> IE is included in the S-NODE MODIFICATION REQUIRED message and set to "executed", the M-NG-RAN node shall, if supported, consider that a prepared </w:t>
      </w:r>
      <w:r w:rsidRPr="00BE6ADB">
        <w:rPr>
          <w:rFonts w:eastAsia="Malgun Gothic"/>
          <w:highlight w:val="yellow"/>
        </w:rPr>
        <w:t>SN-initiated intra-SN CPC procedure or a reconfiguration with sync of the SCG using SRB3 has been executed</w:t>
      </w:r>
      <w:r w:rsidRPr="00283AA6">
        <w:rPr>
          <w:lang w:eastAsia="ja-JP"/>
        </w:rPr>
        <w:t>,</w:t>
      </w:r>
      <w:r w:rsidRPr="00283AA6">
        <w:t xml:space="preserve"> as specified in TS 37.340 [8]</w:t>
      </w:r>
      <w:r>
        <w:rPr>
          <w:rFonts w:eastAsia="Malgun Gothic"/>
        </w:rPr>
        <w:t xml:space="preserve">. If the </w:t>
      </w:r>
      <w:r w:rsidRPr="00815249">
        <w:rPr>
          <w:rFonts w:eastAsia="Malgun Gothic"/>
          <w:i/>
          <w:iCs/>
        </w:rPr>
        <w:t xml:space="preserve">S-NG-RAN node to M-NG-RAN node Container </w:t>
      </w:r>
      <w:r>
        <w:rPr>
          <w:rFonts w:eastAsia="Malgun Gothic"/>
        </w:rPr>
        <w:t>IE is also included in the S-NODE MODIFICATION REQUIRED message, the M-NG-RAN node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w:t>
      </w:r>
    </w:p>
    <w:p w14:paraId="43F2CE74" w14:textId="39EA2101" w:rsidR="00EC0410" w:rsidRDefault="00595ABE" w:rsidP="008559D6">
      <w:r>
        <w:t xml:space="preserve">The </w:t>
      </w:r>
      <w:r w:rsidR="003A3D20">
        <w:t>“</w:t>
      </w:r>
      <w:r w:rsidR="003A3D20" w:rsidRPr="00815249">
        <w:rPr>
          <w:rFonts w:eastAsia="Malgun Gothic"/>
          <w:i/>
          <w:iCs/>
        </w:rPr>
        <w:t>SCG Reconfiguration</w:t>
      </w:r>
      <w:r w:rsidR="003A3D20">
        <w:rPr>
          <w:rFonts w:eastAsia="Malgun Gothic"/>
          <w:i/>
          <w:iCs/>
        </w:rPr>
        <w:t xml:space="preserve"> Notification</w:t>
      </w:r>
      <w:r w:rsidR="003A3D20">
        <w:rPr>
          <w:rFonts w:eastAsia="Malgun Gothic"/>
        </w:rPr>
        <w:t xml:space="preserve"> IE” </w:t>
      </w:r>
      <w:r w:rsidR="00BE6ADB">
        <w:t xml:space="preserve">covers therefore </w:t>
      </w:r>
      <w:r w:rsidR="004A365A">
        <w:t xml:space="preserve">cases </w:t>
      </w:r>
      <w:r w:rsidR="00BE6ADB">
        <w:t xml:space="preserve">x.1 and x.3 in the table. </w:t>
      </w:r>
      <w:r w:rsidR="00FC359C">
        <w:t>However, a</w:t>
      </w:r>
      <w:r w:rsidR="00BE6ADB">
        <w:t xml:space="preserve">s we can see, the handling of scenarios A.3 and B.3 </w:t>
      </w:r>
      <w:r w:rsidR="00FC359C">
        <w:t xml:space="preserve">should be </w:t>
      </w:r>
      <w:r w:rsidR="00BE6ADB">
        <w:t>different –</w:t>
      </w:r>
      <w:r w:rsidR="00E855C3">
        <w:t xml:space="preserve"> </w:t>
      </w:r>
      <w:r w:rsidR="003A3D20">
        <w:t>but</w:t>
      </w:r>
      <w:r w:rsidR="00BE6ADB">
        <w:t xml:space="preserve">, the MN, when it receives the </w:t>
      </w:r>
      <w:r w:rsidR="003A3D20">
        <w:t>“</w:t>
      </w:r>
      <w:r w:rsidR="003A3D20" w:rsidRPr="00815249">
        <w:rPr>
          <w:rFonts w:eastAsia="Malgun Gothic"/>
          <w:i/>
          <w:iCs/>
        </w:rPr>
        <w:t>SCG Reconfiguration</w:t>
      </w:r>
      <w:r w:rsidR="003A3D20">
        <w:rPr>
          <w:rFonts w:eastAsia="Malgun Gothic"/>
          <w:i/>
          <w:iCs/>
        </w:rPr>
        <w:t xml:space="preserve"> Notification</w:t>
      </w:r>
      <w:r w:rsidR="003A3D20">
        <w:rPr>
          <w:rFonts w:eastAsia="Malgun Gothic"/>
        </w:rPr>
        <w:t xml:space="preserve"> IE”</w:t>
      </w:r>
      <w:r w:rsidR="00BE6ADB">
        <w:t xml:space="preserve">, it </w:t>
      </w:r>
      <w:r w:rsidR="003A3D20">
        <w:t xml:space="preserve">only </w:t>
      </w:r>
      <w:r w:rsidR="00BE6ADB">
        <w:t xml:space="preserve">knows if it has prepared CHO or CPC. </w:t>
      </w:r>
      <w:r w:rsidR="00787AAD">
        <w:t>The MN</w:t>
      </w:r>
      <w:r w:rsidR="00BE6ADB">
        <w:t xml:space="preserve"> can’t tell if the SN executed its own CPC or a classic reconfiguration over SRB3</w:t>
      </w:r>
      <w:r w:rsidR="00F71B64">
        <w:t xml:space="preserve"> (possibly also if an intra-SN CPC is prepared, though cases ‘C’ assume that the SN notifies the MN)</w:t>
      </w:r>
      <w:r w:rsidR="00BE6ADB">
        <w:t>.</w:t>
      </w:r>
      <w:r w:rsidR="00E855C3">
        <w:t xml:space="preserve"> </w:t>
      </w:r>
      <w:r w:rsidR="00FC03CB">
        <w:t>I</w:t>
      </w:r>
      <w:r w:rsidR="00787AAD">
        <w:t xml:space="preserve">f the MN has prepared </w:t>
      </w:r>
      <w:r w:rsidR="00E855C3">
        <w:t xml:space="preserve">a </w:t>
      </w:r>
      <w:r w:rsidR="00787AAD">
        <w:t xml:space="preserve">CHO, </w:t>
      </w:r>
      <w:r w:rsidR="009B1765">
        <w:t>the MN does not know if its conditional reconfig has or has not been deleted.</w:t>
      </w:r>
    </w:p>
    <w:p w14:paraId="07865179" w14:textId="3FCF46B7" w:rsidR="009B1765" w:rsidRDefault="009B1765" w:rsidP="008559D6">
      <w:r>
        <w:lastRenderedPageBreak/>
        <w:t>Does the MN need to know if its config is still at the UE or not? One may argue that even though the config does exist, the MN may consider it invalidated with a new SCG config. So, it will have to update it anyway. However, if the MN decides to remove it for the time being, it is unnecessary to signal it when the context ha</w:t>
      </w:r>
      <w:r w:rsidR="00532C72">
        <w:t>s</w:t>
      </w:r>
      <w:r>
        <w:t xml:space="preserve"> already been deleted (or will be deleted once the SCG reconfig is provided to the UE). </w:t>
      </w:r>
    </w:p>
    <w:p w14:paraId="646EEDA3" w14:textId="7C5F369C" w:rsidR="00F23127" w:rsidRPr="00F3420E" w:rsidRDefault="00F23127" w:rsidP="008559D6">
      <w:pPr>
        <w:rPr>
          <w:b/>
          <w:bCs/>
        </w:rPr>
      </w:pPr>
      <w:r w:rsidRPr="00F3420E">
        <w:rPr>
          <w:b/>
          <w:bCs/>
        </w:rPr>
        <w:t xml:space="preserve">Observation </w:t>
      </w:r>
      <w:r w:rsidR="006E091D">
        <w:rPr>
          <w:b/>
          <w:bCs/>
        </w:rPr>
        <w:t>4</w:t>
      </w:r>
      <w:r w:rsidRPr="00F3420E">
        <w:rPr>
          <w:b/>
          <w:bCs/>
        </w:rPr>
        <w:t xml:space="preserve">: The stage-3 description of the “executed” flag </w:t>
      </w:r>
      <w:r w:rsidR="009B1765">
        <w:rPr>
          <w:b/>
          <w:bCs/>
        </w:rPr>
        <w:t>is currently too broad</w:t>
      </w:r>
      <w:r w:rsidR="00E855C3">
        <w:rPr>
          <w:b/>
          <w:bCs/>
        </w:rPr>
        <w:t>, apply to too many cases</w:t>
      </w:r>
      <w:r w:rsidR="009B1765">
        <w:rPr>
          <w:b/>
          <w:bCs/>
        </w:rPr>
        <w:t xml:space="preserve"> and does not allow the MN to act as needed</w:t>
      </w:r>
      <w:r w:rsidR="00E855C3">
        <w:rPr>
          <w:b/>
          <w:bCs/>
        </w:rPr>
        <w:t xml:space="preserve"> (in particular, the currently MN does not know if </w:t>
      </w:r>
      <w:r w:rsidR="0051372F">
        <w:rPr>
          <w:b/>
          <w:bCs/>
        </w:rPr>
        <w:t>its CHO reconfiguration has or has not been removed in the UE</w:t>
      </w:r>
      <w:r w:rsidR="00E855C3">
        <w:rPr>
          <w:b/>
          <w:bCs/>
        </w:rPr>
        <w:t>)</w:t>
      </w:r>
      <w:r w:rsidR="009B1765">
        <w:rPr>
          <w:b/>
          <w:bCs/>
        </w:rPr>
        <w:t>.</w:t>
      </w:r>
    </w:p>
    <w:p w14:paraId="15AD2E4F" w14:textId="6F3A45CF" w:rsidR="00F23127" w:rsidRDefault="00F3420E" w:rsidP="008559D6">
      <w:r>
        <w:t>Because of this, at the last RAN3 #118 meeting, it was considered reasonable to add one more code-point to the existing flag:</w:t>
      </w:r>
    </w:p>
    <w:p w14:paraId="06B73821" w14:textId="77777777" w:rsidR="00F3420E" w:rsidRDefault="00F3420E" w:rsidP="00F3420E">
      <w:pPr>
        <w:pStyle w:val="ListParagraph"/>
        <w:numPr>
          <w:ilvl w:val="0"/>
          <w:numId w:val="42"/>
        </w:numPr>
        <w:overflowPunct w:val="0"/>
        <w:autoSpaceDE w:val="0"/>
        <w:autoSpaceDN w:val="0"/>
        <w:rPr>
          <w:b/>
          <w:bCs/>
          <w:color w:val="00B050"/>
          <w:lang w:eastAsia="zh-CN"/>
        </w:rPr>
      </w:pPr>
      <w:r>
        <w:rPr>
          <w:b/>
          <w:bCs/>
          <w:color w:val="00B050"/>
          <w:lang w:eastAsia="zh-CN"/>
        </w:rPr>
        <w:t xml:space="preserve">Code point 1: If any SN RRC reconfiguration is received, MN uses as it wants. MN considers all conditional reconfigurations at UE have been released. MN does not transfer SN RRC reconfiguration, if received, to UE.  </w:t>
      </w:r>
    </w:p>
    <w:p w14:paraId="3DF0FAD8" w14:textId="77777777" w:rsidR="00F3420E" w:rsidRDefault="00F3420E" w:rsidP="00F3420E">
      <w:pPr>
        <w:pStyle w:val="ListParagraph"/>
        <w:numPr>
          <w:ilvl w:val="0"/>
          <w:numId w:val="42"/>
        </w:numPr>
        <w:overflowPunct w:val="0"/>
        <w:autoSpaceDE w:val="0"/>
        <w:autoSpaceDN w:val="0"/>
        <w:rPr>
          <w:b/>
          <w:bCs/>
          <w:color w:val="00B050"/>
          <w:lang w:eastAsia="zh-CN"/>
        </w:rPr>
      </w:pPr>
      <w:r>
        <w:rPr>
          <w:b/>
          <w:bCs/>
          <w:color w:val="00B050"/>
          <w:lang w:eastAsia="zh-CN"/>
        </w:rPr>
        <w:t>Code point 2: If any SN RRC reconfiguration is received, MN uses as it wants. MN does not transfer SN RRC reconfiguration, if received, to UE. MN does not consider all conditional reconfigurations at UE have been released.</w:t>
      </w:r>
    </w:p>
    <w:p w14:paraId="24B96AA4" w14:textId="5F9ABCAA" w:rsidR="00F3420E" w:rsidRDefault="00F3420E" w:rsidP="008559D6">
      <w:pPr>
        <w:rPr>
          <w:lang w:val="en-US"/>
        </w:rPr>
      </w:pPr>
      <w:r>
        <w:rPr>
          <w:lang w:val="en-US"/>
        </w:rPr>
        <w:t>Based on this, we could assume that the existing “executed” code-point refers to the point 2 above, while a new code point, e.g.</w:t>
      </w:r>
      <w:r w:rsidR="00921013">
        <w:rPr>
          <w:lang w:val="en-US"/>
        </w:rPr>
        <w:t>,</w:t>
      </w:r>
      <w:r>
        <w:rPr>
          <w:lang w:val="en-US"/>
        </w:rPr>
        <w:t xml:space="preserve"> “executed-deleted”, will be used for the point 1 above.</w:t>
      </w:r>
    </w:p>
    <w:p w14:paraId="767A1B3B" w14:textId="05B20903" w:rsidR="00F3420E" w:rsidRPr="006E091D" w:rsidRDefault="00F3420E" w:rsidP="008559D6">
      <w:pPr>
        <w:rPr>
          <w:b/>
          <w:bCs/>
          <w:lang w:val="en-US"/>
        </w:rPr>
      </w:pPr>
      <w:r w:rsidRPr="006E091D">
        <w:rPr>
          <w:b/>
          <w:bCs/>
          <w:lang w:val="en-US"/>
        </w:rPr>
        <w:t xml:space="preserve">Proposal 1: </w:t>
      </w:r>
      <w:r w:rsidR="006E091D">
        <w:rPr>
          <w:b/>
          <w:bCs/>
          <w:lang w:val="en-US"/>
        </w:rPr>
        <w:t xml:space="preserve">RAN3 shall confirm the understanding from the RAN3 #118 meeting, that the MN must know if its prior conditional reconfiguration still exists in the UE. </w:t>
      </w:r>
      <w:r w:rsidRPr="006E091D">
        <w:rPr>
          <w:b/>
          <w:bCs/>
          <w:lang w:val="en-US"/>
        </w:rPr>
        <w:t xml:space="preserve">To address the agreement from RAN3 #118, a new code-point is added to the </w:t>
      </w:r>
      <w:r w:rsidRPr="00D24684">
        <w:rPr>
          <w:b/>
          <w:bCs/>
          <w:i/>
          <w:iCs/>
          <w:lang w:val="en-US"/>
        </w:rPr>
        <w:t>SCG Reconfiguration Notification</w:t>
      </w:r>
      <w:r w:rsidRPr="006E091D">
        <w:rPr>
          <w:b/>
          <w:bCs/>
          <w:lang w:val="en-US"/>
        </w:rPr>
        <w:t xml:space="preserve"> IE, with a name “executed-deleted”</w:t>
      </w:r>
      <w:r w:rsidR="006E091D" w:rsidRPr="006E091D">
        <w:rPr>
          <w:b/>
          <w:bCs/>
          <w:lang w:val="en-US"/>
        </w:rPr>
        <w:t>.</w:t>
      </w:r>
    </w:p>
    <w:p w14:paraId="6FBE77C6" w14:textId="78AB6654" w:rsidR="006E091D" w:rsidRDefault="006E091D" w:rsidP="008559D6">
      <w:pPr>
        <w:rPr>
          <w:lang w:val="en-US"/>
        </w:rPr>
      </w:pPr>
      <w:r>
        <w:rPr>
          <w:lang w:val="en-US"/>
        </w:rPr>
        <w:t>Does it solve all the problem? Unfortunately, it does not: there is still the case B.2, where the provided SCG reconfiguration has not been delivered to the UE yet, but once it is delivered, the MN’s conditional CPC will be removed. The MN can’t tell this scenario from the reconfiguration without sync, where the MN’s CPC stays in the UE. (In theory, the MN could dig into the SCG reconfig to discover if it is with or without sync. Such behaviour should not be required though.)</w:t>
      </w:r>
    </w:p>
    <w:p w14:paraId="6281A52A" w14:textId="60A9F158" w:rsidR="006E091D" w:rsidRPr="00CC7227" w:rsidRDefault="00D24684" w:rsidP="008559D6">
      <w:pPr>
        <w:rPr>
          <w:b/>
          <w:bCs/>
          <w:lang w:val="en-US"/>
        </w:rPr>
      </w:pPr>
      <w:r w:rsidRPr="00CC7227">
        <w:rPr>
          <w:b/>
          <w:bCs/>
          <w:lang w:val="en-US"/>
        </w:rPr>
        <w:t>Observation</w:t>
      </w:r>
      <w:r w:rsidR="006E091D" w:rsidRPr="00CC7227">
        <w:rPr>
          <w:b/>
          <w:bCs/>
          <w:lang w:val="en-US"/>
        </w:rPr>
        <w:t xml:space="preserve"> </w:t>
      </w:r>
      <w:r w:rsidRPr="00CC7227">
        <w:rPr>
          <w:b/>
          <w:bCs/>
          <w:lang w:val="en-US"/>
        </w:rPr>
        <w:t>5</w:t>
      </w:r>
      <w:r w:rsidR="006E091D" w:rsidRPr="00CC7227">
        <w:rPr>
          <w:b/>
          <w:bCs/>
          <w:lang w:val="en-US"/>
        </w:rPr>
        <w:t xml:space="preserve">: </w:t>
      </w:r>
      <w:r w:rsidRPr="00CC7227">
        <w:rPr>
          <w:b/>
          <w:bCs/>
          <w:lang w:val="en-US"/>
        </w:rPr>
        <w:t>T</w:t>
      </w:r>
      <w:r w:rsidR="006E091D" w:rsidRPr="00CC7227">
        <w:rPr>
          <w:b/>
          <w:bCs/>
          <w:lang w:val="en-US"/>
        </w:rPr>
        <w:t>he MN can’t tell case B.2 from B.4 on its own (without digging into the SCG reconfig)</w:t>
      </w:r>
      <w:r w:rsidRPr="00CC7227">
        <w:rPr>
          <w:b/>
          <w:bCs/>
          <w:lang w:val="en-US"/>
        </w:rPr>
        <w:t xml:space="preserve"> so</w:t>
      </w:r>
      <w:r w:rsidR="006E091D" w:rsidRPr="00CC7227">
        <w:rPr>
          <w:b/>
          <w:bCs/>
          <w:lang w:val="en-US"/>
        </w:rPr>
        <w:t xml:space="preserve"> there must be yet third flag, which will tell the MN that the SCG is to be handled normally (SCG reconfig to </w:t>
      </w:r>
      <w:r w:rsidRPr="00CC7227">
        <w:rPr>
          <w:b/>
          <w:bCs/>
          <w:lang w:val="en-US"/>
        </w:rPr>
        <w:t>b</w:t>
      </w:r>
      <w:r w:rsidR="006E091D" w:rsidRPr="00CC7227">
        <w:rPr>
          <w:b/>
          <w:bCs/>
          <w:lang w:val="en-US"/>
        </w:rPr>
        <w:t>e forwarded to the UE), but once handled, MN’s CPC will be deleted.</w:t>
      </w:r>
    </w:p>
    <w:p w14:paraId="4F6FB0E8" w14:textId="037449F1" w:rsidR="006E091D" w:rsidRPr="00D24684" w:rsidRDefault="00D24684" w:rsidP="008559D6">
      <w:pPr>
        <w:rPr>
          <w:b/>
          <w:bCs/>
          <w:lang w:val="en-US"/>
        </w:rPr>
      </w:pPr>
      <w:r w:rsidRPr="00D24684">
        <w:rPr>
          <w:b/>
          <w:bCs/>
          <w:lang w:val="en-US"/>
        </w:rPr>
        <w:t xml:space="preserve">Proposal 2: RAN3 adds third flag to the </w:t>
      </w:r>
      <w:r w:rsidRPr="00D24684">
        <w:rPr>
          <w:b/>
          <w:bCs/>
          <w:i/>
          <w:iCs/>
          <w:lang w:val="en-US"/>
        </w:rPr>
        <w:t>SCG Reconfiguration Notification</w:t>
      </w:r>
      <w:r w:rsidRPr="00D24684">
        <w:rPr>
          <w:b/>
          <w:bCs/>
          <w:lang w:val="en-US"/>
        </w:rPr>
        <w:t xml:space="preserve"> IE, with a name “deleted”.</w:t>
      </w:r>
    </w:p>
    <w:p w14:paraId="3669DC25" w14:textId="1EBC1C99" w:rsidR="005311B0" w:rsidRDefault="00D24684" w:rsidP="008559D6">
      <w:r>
        <w:t>This can be summarised that we need three code-points for the IE (and a legacy handling):</w:t>
      </w:r>
    </w:p>
    <w:p w14:paraId="6B3220EB" w14:textId="0999063C" w:rsidR="00AC38FC" w:rsidRDefault="00AC38FC" w:rsidP="00AC38FC">
      <w:pPr>
        <w:pStyle w:val="ListParagraph"/>
        <w:numPr>
          <w:ilvl w:val="0"/>
          <w:numId w:val="41"/>
        </w:numPr>
      </w:pPr>
      <w:r>
        <w:t>Existing “executed”: the MN shall not forward the included SCG config to the UE (it has already been executed), but MN’s conditional configuration remains in the UE (scenarios A.3, A.5, B.5);</w:t>
      </w:r>
    </w:p>
    <w:p w14:paraId="4E90EC03" w14:textId="684881BC" w:rsidR="00AC38FC" w:rsidRDefault="00AC38FC" w:rsidP="00AC38FC">
      <w:pPr>
        <w:pStyle w:val="ListParagraph"/>
        <w:numPr>
          <w:ilvl w:val="0"/>
          <w:numId w:val="41"/>
        </w:numPr>
      </w:pPr>
      <w:r>
        <w:t>New “executed-deleted”: the MN shall not forward the included SCG config to the UE (it has already been executed)</w:t>
      </w:r>
      <w:r w:rsidR="00D551EE">
        <w:t xml:space="preserve"> and</w:t>
      </w:r>
      <w:r>
        <w:t xml:space="preserve"> MN’s conditional configuration </w:t>
      </w:r>
      <w:r w:rsidR="00D551EE">
        <w:t>has been deleted</w:t>
      </w:r>
      <w:r>
        <w:t xml:space="preserve"> in the UE (scenarios A.</w:t>
      </w:r>
      <w:r w:rsidR="00D551EE">
        <w:t>1</w:t>
      </w:r>
      <w:r>
        <w:t>, B</w:t>
      </w:r>
      <w:r w:rsidR="00D551EE">
        <w:t>.1, B.3</w:t>
      </w:r>
      <w:r>
        <w:t>);</w:t>
      </w:r>
    </w:p>
    <w:p w14:paraId="02FCDAA9" w14:textId="2370299A" w:rsidR="00D551EE" w:rsidRDefault="00D551EE" w:rsidP="00AC38FC">
      <w:pPr>
        <w:pStyle w:val="ListParagraph"/>
        <w:numPr>
          <w:ilvl w:val="0"/>
          <w:numId w:val="41"/>
        </w:numPr>
      </w:pPr>
      <w:r>
        <w:t xml:space="preserve">New “deleted”: the MN forward the included SCG config to the UE normally, but MN’s conditional configuration has been deleted in the UE (scenarios </w:t>
      </w:r>
      <w:r w:rsidR="00027EE4">
        <w:t>B.2</w:t>
      </w:r>
      <w:r>
        <w:t>);</w:t>
      </w:r>
    </w:p>
    <w:p w14:paraId="5F68B7C1" w14:textId="418F3C57" w:rsidR="00D24684" w:rsidRDefault="00D24684" w:rsidP="00AC38FC">
      <w:pPr>
        <w:pStyle w:val="ListParagraph"/>
        <w:numPr>
          <w:ilvl w:val="0"/>
          <w:numId w:val="41"/>
        </w:numPr>
      </w:pPr>
      <w:r>
        <w:t xml:space="preserve">Legacy handling (i.e. the </w:t>
      </w:r>
      <w:r w:rsidRPr="00D24684">
        <w:rPr>
          <w:i/>
          <w:iCs/>
        </w:rPr>
        <w:t>SCG Reconfiguration Notification</w:t>
      </w:r>
      <w:r w:rsidRPr="00D24684">
        <w:t xml:space="preserve"> IE</w:t>
      </w:r>
      <w:r>
        <w:t xml:space="preserve"> is not included at all): the included SCG reconfig is to be delivered to the UE (as per SCG reconfig without MN’s involvement over SRB1) and it does not delete any prior MN’s conditional reconfiguration in the UE</w:t>
      </w:r>
      <w:r w:rsidR="00027EE4">
        <w:t xml:space="preserve"> (scenarios A.2, A.4, B.4)</w:t>
      </w:r>
      <w:r>
        <w:t>.</w:t>
      </w:r>
    </w:p>
    <w:p w14:paraId="39D65D9B" w14:textId="30623FE3" w:rsidR="00CC7227" w:rsidRPr="00CC7227" w:rsidRDefault="00CC7227" w:rsidP="00CC7227">
      <w:pPr>
        <w:rPr>
          <w:b/>
          <w:bCs/>
        </w:rPr>
      </w:pPr>
      <w:r w:rsidRPr="00CC7227">
        <w:rPr>
          <w:b/>
          <w:bCs/>
        </w:rPr>
        <w:t xml:space="preserve">Observation 6: If this is introduced as proposed, the reference “as specified in TS 37.340” is not needed – the flag explicitly tells the MN what </w:t>
      </w:r>
      <w:r w:rsidR="005D2AB2" w:rsidRPr="00CC7227">
        <w:rPr>
          <w:b/>
          <w:bCs/>
        </w:rPr>
        <w:t>the situation is</w:t>
      </w:r>
      <w:r w:rsidRPr="00CC7227">
        <w:rPr>
          <w:b/>
          <w:bCs/>
        </w:rPr>
        <w:t>.</w:t>
      </w:r>
    </w:p>
    <w:p w14:paraId="6C12ADEA" w14:textId="07525713" w:rsidR="007051E2" w:rsidRDefault="007051E2" w:rsidP="00CC7227">
      <w:r>
        <w:t>One may observe that the SN has to provide different indication for the case A.3 and B.3. This is</w:t>
      </w:r>
      <w:r w:rsidR="00C46E1C">
        <w:t xml:space="preserve"> </w:t>
      </w:r>
      <w:r>
        <w:t>possible</w:t>
      </w:r>
      <w:r w:rsidR="00E855C3">
        <w:t xml:space="preserve"> though:</w:t>
      </w:r>
      <w:r w:rsidR="00C46E1C">
        <w:t xml:space="preserve"> </w:t>
      </w:r>
      <w:r w:rsidR="00E855C3">
        <w:t>a</w:t>
      </w:r>
      <w:r>
        <w:t>t RAN3 #118</w:t>
      </w:r>
      <w:r w:rsidR="00E855C3">
        <w:t>,</w:t>
      </w:r>
      <w:r w:rsidR="00C46E1C">
        <w:t xml:space="preserve"> it is agreed that</w:t>
      </w:r>
      <w:r w:rsidR="00E855C3">
        <w:t xml:space="preserve"> </w:t>
      </w:r>
      <w:r>
        <w:t>the indication provided from the MN about started conditional reconfiguration separates a started CHO from a started CPC. Thus, the SN can act correctly.</w:t>
      </w:r>
    </w:p>
    <w:p w14:paraId="23B6F5D9" w14:textId="7CE31BD6" w:rsidR="007051E2" w:rsidRPr="007051E2" w:rsidRDefault="007051E2" w:rsidP="00CC7227">
      <w:pPr>
        <w:rPr>
          <w:b/>
          <w:bCs/>
        </w:rPr>
      </w:pPr>
      <w:r w:rsidRPr="007051E2">
        <w:rPr>
          <w:b/>
          <w:bCs/>
        </w:rPr>
        <w:t>Observation 7: Since the MN informs the SN about started CHO and started CPC separately, the SN can provide correct indication for scenarios A.3 and B.3.</w:t>
      </w:r>
    </w:p>
    <w:p w14:paraId="2F0AB42B" w14:textId="0C030CE7" w:rsidR="00CC7227" w:rsidRDefault="00CC7227" w:rsidP="00CC7227">
      <w:r>
        <w:t xml:space="preserve">There is also another approach possible: the existing “executed” flag is used for just executed intra-SN CPC. For a classic SCG reconfiguration, a new IE is defined which informs if this reconfiguration is with or without sync and, to enable the MN to differentiate between cases B.2 and B.3, if the included SCG reconfig is to be forwarded to the UE using SRB1. However, this approach will not change much: instead of telling the MN explicitly what has happened, it </w:t>
      </w:r>
      <w:r>
        <w:lastRenderedPageBreak/>
        <w:t>tells what kind of reconfiguration is being done. However, the overall number of code-points is the same as in the solution proposed above (3 different scenarios + the legacy handling).</w:t>
      </w:r>
    </w:p>
    <w:p w14:paraId="69A1DE24" w14:textId="0F8C911A" w:rsidR="00CC7227" w:rsidRPr="0076102C" w:rsidRDefault="0076102C" w:rsidP="00CC7227">
      <w:pPr>
        <w:rPr>
          <w:b/>
          <w:bCs/>
        </w:rPr>
      </w:pPr>
      <w:r w:rsidRPr="0076102C">
        <w:rPr>
          <w:b/>
          <w:bCs/>
        </w:rPr>
        <w:t>Observation 7: Using code points that define the type of SN’s reconfiguration instead of defining the result of the reconfiguration changes nothing: it still requires indication of 3 separate scenarios and one legacy handling.</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2123C93A" w:rsidR="002F4257" w:rsidRDefault="002F4257" w:rsidP="00D20DF3">
      <w:pPr>
        <w:jc w:val="both"/>
        <w:rPr>
          <w:bCs/>
        </w:rPr>
      </w:pPr>
      <w:r>
        <w:rPr>
          <w:bCs/>
        </w:rPr>
        <w:t xml:space="preserve">In this paper, </w:t>
      </w:r>
      <w:r w:rsidR="005541D4">
        <w:rPr>
          <w:bCs/>
        </w:rPr>
        <w:t>we continue the discussion on the coordination between MN-initiated conditional reconfigurations and executions of SCG reconfigurations. The discussion may be summarised in the following observations and proposals:</w:t>
      </w:r>
    </w:p>
    <w:p w14:paraId="62097061" w14:textId="77777777" w:rsidR="005541D4" w:rsidRPr="005541D4" w:rsidRDefault="005541D4" w:rsidP="005541D4">
      <w:pPr>
        <w:ind w:left="284"/>
        <w:jc w:val="both"/>
        <w:rPr>
          <w:bCs/>
        </w:rPr>
      </w:pPr>
      <w:r w:rsidRPr="005541D4">
        <w:rPr>
          <w:bCs/>
        </w:rPr>
        <w:t>Observation 1: There are 3, not only 2 combinations of the special results of SCG reconfiguration: MN’s conditional config is deleted and the SCG config does not need to be forwarded to the UE; MN’s conditional config remains in the UE and the SCG config does not need to be forwarded to the UE; MN’s conditional config is deleted and the SCG config must be forwarded to the UE (there is also the “legacy handling”, i.e. where the MN’s conditional config remains in the UE and the MN forwards the received SCG config to the UE).</w:t>
      </w:r>
    </w:p>
    <w:p w14:paraId="1F29370C" w14:textId="77777777" w:rsidR="005541D4" w:rsidRPr="005541D4" w:rsidRDefault="005541D4" w:rsidP="005541D4">
      <w:pPr>
        <w:ind w:left="284"/>
        <w:jc w:val="both"/>
        <w:rPr>
          <w:bCs/>
        </w:rPr>
      </w:pPr>
      <w:r w:rsidRPr="005541D4">
        <w:rPr>
          <w:bCs/>
        </w:rPr>
        <w:t>Observation 2: General case ‘C’ is the same as case ‘B’ with respect to the MN handling and thus can be skipped in further discussion.</w:t>
      </w:r>
    </w:p>
    <w:p w14:paraId="0B3179DD" w14:textId="77777777" w:rsidR="005541D4" w:rsidRPr="005541D4" w:rsidRDefault="005541D4" w:rsidP="005541D4">
      <w:pPr>
        <w:ind w:left="284"/>
        <w:jc w:val="both"/>
        <w:rPr>
          <w:bCs/>
        </w:rPr>
      </w:pPr>
      <w:r w:rsidRPr="005541D4">
        <w:rPr>
          <w:bCs/>
        </w:rPr>
        <w:t>Observation 3: Even though cases 3 and 5 could be removed (so far, it was effectively assumed the SN should not use SRB3 for reconfiguration of UE, if it is informed about started CHO or MN-initiated CPC), it does not help RAN3 signalling – there are still 3 handlings (plus the legacy handling).</w:t>
      </w:r>
    </w:p>
    <w:p w14:paraId="041CD719" w14:textId="77777777" w:rsidR="005541D4" w:rsidRPr="005541D4" w:rsidRDefault="005541D4" w:rsidP="005541D4">
      <w:pPr>
        <w:ind w:left="284"/>
        <w:jc w:val="both"/>
        <w:rPr>
          <w:bCs/>
        </w:rPr>
      </w:pPr>
      <w:r w:rsidRPr="005541D4">
        <w:rPr>
          <w:bCs/>
        </w:rPr>
        <w:t>Observation 4: The stage-3 description of the “executed” flag is currently too broad, apply to too many cases and does not allow the MN to act as needed (in particular, the currently MN does not know if its CHO reconfiguration has or has not been removed in the UE).</w:t>
      </w:r>
    </w:p>
    <w:p w14:paraId="61749C51" w14:textId="77777777" w:rsidR="005541D4" w:rsidRPr="005541D4" w:rsidRDefault="005541D4" w:rsidP="005541D4">
      <w:pPr>
        <w:ind w:left="284"/>
        <w:jc w:val="both"/>
        <w:rPr>
          <w:bCs/>
        </w:rPr>
      </w:pPr>
      <w:r w:rsidRPr="005541D4">
        <w:rPr>
          <w:bCs/>
        </w:rPr>
        <w:t>Proposal 1: RAN3 shall confirm the understanding from the RAN3 #118 meeting, that the MN must know if its prior conditional reconfiguration still exists in the UE. To address the agreement from RAN3 #118, a new code-point is added to the SCG Reconfiguration Notification IE, with a name “executed-deleted”.</w:t>
      </w:r>
    </w:p>
    <w:p w14:paraId="519DBF25" w14:textId="77777777" w:rsidR="005541D4" w:rsidRPr="005541D4" w:rsidRDefault="005541D4" w:rsidP="005541D4">
      <w:pPr>
        <w:ind w:left="284"/>
        <w:jc w:val="both"/>
        <w:rPr>
          <w:bCs/>
        </w:rPr>
      </w:pPr>
      <w:r w:rsidRPr="005541D4">
        <w:rPr>
          <w:bCs/>
        </w:rPr>
        <w:t>Observation 5: The MN can’t tell case B.2 from B.4 on its own (without digging into the SCG reconfig) so there must be yet third flag, which will tell the MN that the SCG is to be handled normally (SCG reconfig to be forwarded to the UE), but once handled, MN’s CPC will be deleted.</w:t>
      </w:r>
    </w:p>
    <w:p w14:paraId="2BBAC19D" w14:textId="77777777" w:rsidR="005541D4" w:rsidRPr="005541D4" w:rsidRDefault="005541D4" w:rsidP="005541D4">
      <w:pPr>
        <w:ind w:left="284"/>
        <w:jc w:val="both"/>
        <w:rPr>
          <w:bCs/>
        </w:rPr>
      </w:pPr>
      <w:r w:rsidRPr="005541D4">
        <w:rPr>
          <w:bCs/>
        </w:rPr>
        <w:t>Proposal 2: RAN3 adds third flag to the SCG Reconfiguration Notification IE, with a name “deleted”.</w:t>
      </w:r>
    </w:p>
    <w:p w14:paraId="36A26F57" w14:textId="77777777" w:rsidR="005541D4" w:rsidRPr="005541D4" w:rsidRDefault="005541D4" w:rsidP="005541D4">
      <w:pPr>
        <w:ind w:left="284"/>
        <w:jc w:val="both"/>
        <w:rPr>
          <w:bCs/>
        </w:rPr>
      </w:pPr>
      <w:r w:rsidRPr="005541D4">
        <w:rPr>
          <w:bCs/>
        </w:rPr>
        <w:t>Observation 6: If this is introduced as proposed, the reference “as specified in TS 37.340” is not needed – the flag explicitly tells the MN what the situation is.</w:t>
      </w:r>
    </w:p>
    <w:p w14:paraId="10962524" w14:textId="77777777" w:rsidR="005541D4" w:rsidRPr="005541D4" w:rsidRDefault="005541D4" w:rsidP="005541D4">
      <w:pPr>
        <w:ind w:left="284"/>
        <w:jc w:val="both"/>
        <w:rPr>
          <w:bCs/>
        </w:rPr>
      </w:pPr>
      <w:r w:rsidRPr="005541D4">
        <w:rPr>
          <w:bCs/>
        </w:rPr>
        <w:t>Observation 7: Since the MN informs the SN about started CHO and started CPC separately, the SN can provide correct indication for scenarios A.3 and B.3.</w:t>
      </w:r>
    </w:p>
    <w:p w14:paraId="664A11CD" w14:textId="6B1B82F5" w:rsidR="00BC25D1" w:rsidRDefault="005541D4" w:rsidP="005541D4">
      <w:pPr>
        <w:ind w:left="284"/>
        <w:jc w:val="both"/>
        <w:rPr>
          <w:bCs/>
        </w:rPr>
      </w:pPr>
      <w:r w:rsidRPr="005541D4">
        <w:rPr>
          <w:bCs/>
        </w:rPr>
        <w:t>Observation 7: Using code points that define the type of SN’s reconfiguration instead of defining the result of the reconfiguration changes nothing: it still requires indication of 3 separate scenarios and one legacy handling.</w:t>
      </w:r>
    </w:p>
    <w:p w14:paraId="21A337AF" w14:textId="24CD7E4D" w:rsidR="002F4257" w:rsidRPr="000665EA" w:rsidRDefault="005541D4" w:rsidP="006A43F7">
      <w:pPr>
        <w:jc w:val="both"/>
        <w:rPr>
          <w:bCs/>
        </w:rPr>
      </w:pPr>
      <w:r>
        <w:rPr>
          <w:bCs/>
        </w:rPr>
        <w:t>Stage-3 CR</w:t>
      </w:r>
      <w:r w:rsidR="002F4257">
        <w:rPr>
          <w:bCs/>
        </w:rPr>
        <w:t xml:space="preserve">s implementing the </w:t>
      </w:r>
      <w:r>
        <w:rPr>
          <w:bCs/>
        </w:rPr>
        <w:t>modifications</w:t>
      </w:r>
      <w:r w:rsidR="002F4257">
        <w:rPr>
          <w:bCs/>
        </w:rPr>
        <w:t xml:space="preserve"> are proposed in [1] and [2]</w:t>
      </w:r>
      <w:r>
        <w:rPr>
          <w:bCs/>
        </w:rPr>
        <w:t>, while stage-2 CR is proposed in [3]</w:t>
      </w:r>
      <w:r w:rsidR="002F4257">
        <w:rPr>
          <w:bCs/>
        </w:rPr>
        <w:t>.</w:t>
      </w:r>
    </w:p>
    <w:p w14:paraId="483F8717" w14:textId="77777777" w:rsidR="00403B9B" w:rsidRPr="000665EA" w:rsidRDefault="00403B9B" w:rsidP="00403B9B">
      <w:pPr>
        <w:pStyle w:val="Heading1"/>
      </w:pPr>
      <w:r w:rsidRPr="000665EA">
        <w:t>References</w:t>
      </w:r>
    </w:p>
    <w:p w14:paraId="65C3740D" w14:textId="1EBB550F" w:rsidR="002F4257" w:rsidRDefault="005541D4" w:rsidP="008A3464">
      <w:pPr>
        <w:numPr>
          <w:ilvl w:val="0"/>
          <w:numId w:val="4"/>
        </w:numPr>
        <w:overflowPunct w:val="0"/>
        <w:autoSpaceDE w:val="0"/>
        <w:autoSpaceDN w:val="0"/>
        <w:adjustRightInd w:val="0"/>
        <w:textAlignment w:val="baseline"/>
      </w:pPr>
      <w:r>
        <w:t>R3-23</w:t>
      </w:r>
      <w:r w:rsidR="00CD7CEB">
        <w:t>0122</w:t>
      </w:r>
      <w:r>
        <w:t>, RAN3 #119</w:t>
      </w:r>
    </w:p>
    <w:p w14:paraId="0ABB0ED8" w14:textId="568C685B" w:rsidR="005541D4" w:rsidRPr="000665EA" w:rsidRDefault="005541D4" w:rsidP="005541D4">
      <w:pPr>
        <w:numPr>
          <w:ilvl w:val="0"/>
          <w:numId w:val="4"/>
        </w:numPr>
        <w:overflowPunct w:val="0"/>
        <w:autoSpaceDE w:val="0"/>
        <w:autoSpaceDN w:val="0"/>
        <w:adjustRightInd w:val="0"/>
        <w:textAlignment w:val="baseline"/>
      </w:pPr>
      <w:r>
        <w:t>R3-23</w:t>
      </w:r>
      <w:r w:rsidR="00CD7CEB">
        <w:t>0123</w:t>
      </w:r>
      <w:r>
        <w:t>, RAN3 #119</w:t>
      </w:r>
    </w:p>
    <w:p w14:paraId="5ADB41FB" w14:textId="0668BC57" w:rsidR="005541D4" w:rsidRPr="000665EA" w:rsidRDefault="004F6FCF" w:rsidP="005541D4">
      <w:pPr>
        <w:numPr>
          <w:ilvl w:val="0"/>
          <w:numId w:val="4"/>
        </w:numPr>
        <w:overflowPunct w:val="0"/>
        <w:autoSpaceDE w:val="0"/>
        <w:autoSpaceDN w:val="0"/>
        <w:adjustRightInd w:val="0"/>
        <w:textAlignment w:val="baseline"/>
      </w:pPr>
      <w:r w:rsidRPr="004F6FCF">
        <w:t>R3-230321</w:t>
      </w:r>
      <w:r w:rsidR="005541D4">
        <w:t>, RAN3 #119</w:t>
      </w:r>
    </w:p>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4C37" w14:textId="77777777" w:rsidR="009A4420" w:rsidRDefault="009A4420">
      <w:r>
        <w:separator/>
      </w:r>
    </w:p>
  </w:endnote>
  <w:endnote w:type="continuationSeparator" w:id="0">
    <w:p w14:paraId="074C227B" w14:textId="77777777" w:rsidR="009A4420" w:rsidRDefault="009A4420">
      <w:r>
        <w:continuationSeparator/>
      </w:r>
    </w:p>
  </w:endnote>
  <w:endnote w:type="continuationNotice" w:id="1">
    <w:p w14:paraId="652C0196" w14:textId="77777777" w:rsidR="009A4420" w:rsidRDefault="009A4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2250C" w14:textId="77777777" w:rsidR="009A4420" w:rsidRDefault="009A4420">
      <w:r>
        <w:separator/>
      </w:r>
    </w:p>
  </w:footnote>
  <w:footnote w:type="continuationSeparator" w:id="0">
    <w:p w14:paraId="2B18C4BB" w14:textId="77777777" w:rsidR="009A4420" w:rsidRDefault="009A4420">
      <w:r>
        <w:continuationSeparator/>
      </w:r>
    </w:p>
  </w:footnote>
  <w:footnote w:type="continuationNotice" w:id="1">
    <w:p w14:paraId="60B738FA" w14:textId="77777777" w:rsidR="009A4420" w:rsidRDefault="009A44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45E40B2"/>
    <w:multiLevelType w:val="hybridMultilevel"/>
    <w:tmpl w:val="698A42FE"/>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E650A75"/>
    <w:multiLevelType w:val="hybridMultilevel"/>
    <w:tmpl w:val="C706A758"/>
    <w:lvl w:ilvl="0" w:tplc="FE02158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2076356"/>
    <w:multiLevelType w:val="hybridMultilevel"/>
    <w:tmpl w:val="3DB00D72"/>
    <w:lvl w:ilvl="0" w:tplc="158C09FA">
      <w:start w:val="1"/>
      <w:numFmt w:val="bullet"/>
      <w:lvlText w:val=""/>
      <w:lvlJc w:val="left"/>
      <w:pPr>
        <w:ind w:left="720" w:hanging="360"/>
      </w:pPr>
      <w:rPr>
        <w:rFonts w:ascii="Symbol" w:eastAsia="Yu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0"/>
  </w:num>
  <w:num w:numId="3">
    <w:abstractNumId w:val="14"/>
  </w:num>
  <w:num w:numId="4">
    <w:abstractNumId w:val="9"/>
  </w:num>
  <w:num w:numId="5">
    <w:abstractNumId w:val="10"/>
  </w:num>
  <w:num w:numId="6">
    <w:abstractNumId w:val="40"/>
  </w:num>
  <w:num w:numId="7">
    <w:abstractNumId w:val="25"/>
  </w:num>
  <w:num w:numId="8">
    <w:abstractNumId w:val="15"/>
  </w:num>
  <w:num w:numId="9">
    <w:abstractNumId w:val="39"/>
  </w:num>
  <w:num w:numId="10">
    <w:abstractNumId w:val="24"/>
  </w:num>
  <w:num w:numId="11">
    <w:abstractNumId w:val="13"/>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7"/>
  </w:num>
  <w:num w:numId="26">
    <w:abstractNumId w:val="16"/>
  </w:num>
  <w:num w:numId="27">
    <w:abstractNumId w:val="21"/>
  </w:num>
  <w:num w:numId="28">
    <w:abstractNumId w:val="37"/>
  </w:num>
  <w:num w:numId="29">
    <w:abstractNumId w:val="38"/>
  </w:num>
  <w:num w:numId="30">
    <w:abstractNumId w:val="26"/>
  </w:num>
  <w:num w:numId="31">
    <w:abstractNumId w:val="23"/>
  </w:num>
  <w:num w:numId="32">
    <w:abstractNumId w:val="17"/>
  </w:num>
  <w:num w:numId="33">
    <w:abstractNumId w:val="28"/>
  </w:num>
  <w:num w:numId="34">
    <w:abstractNumId w:val="12"/>
  </w:num>
  <w:num w:numId="35">
    <w:abstractNumId w:val="11"/>
  </w:num>
  <w:num w:numId="36">
    <w:abstractNumId w:val="36"/>
  </w:num>
  <w:num w:numId="37">
    <w:abstractNumId w:val="22"/>
  </w:num>
  <w:num w:numId="38">
    <w:abstractNumId w:val="29"/>
  </w:num>
  <w:num w:numId="39">
    <w:abstractNumId w:val="41"/>
  </w:num>
  <w:num w:numId="40">
    <w:abstractNumId w:val="19"/>
  </w:num>
  <w:num w:numId="41">
    <w:abstractNumId w:val="35"/>
  </w:num>
  <w:num w:numId="42">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7CD"/>
    <w:rsid w:val="00017E54"/>
    <w:rsid w:val="0002700F"/>
    <w:rsid w:val="00027EE4"/>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2AC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07EC"/>
    <w:rsid w:val="001114CF"/>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4EFC"/>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1CFD"/>
    <w:rsid w:val="0022219E"/>
    <w:rsid w:val="00222918"/>
    <w:rsid w:val="0022526D"/>
    <w:rsid w:val="00225627"/>
    <w:rsid w:val="0022606D"/>
    <w:rsid w:val="0023050E"/>
    <w:rsid w:val="00230567"/>
    <w:rsid w:val="00230A53"/>
    <w:rsid w:val="00230C70"/>
    <w:rsid w:val="00230CAD"/>
    <w:rsid w:val="002327FF"/>
    <w:rsid w:val="00232E32"/>
    <w:rsid w:val="00233415"/>
    <w:rsid w:val="002360F6"/>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A6B"/>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3CBD"/>
    <w:rsid w:val="002A57F7"/>
    <w:rsid w:val="002A6219"/>
    <w:rsid w:val="002A7EF7"/>
    <w:rsid w:val="002B0220"/>
    <w:rsid w:val="002B0529"/>
    <w:rsid w:val="002B07E3"/>
    <w:rsid w:val="002B446B"/>
    <w:rsid w:val="002B5A2A"/>
    <w:rsid w:val="002B69AF"/>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12C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1FE3"/>
    <w:rsid w:val="00325C0F"/>
    <w:rsid w:val="00326069"/>
    <w:rsid w:val="00326DC1"/>
    <w:rsid w:val="003310A8"/>
    <w:rsid w:val="003321D6"/>
    <w:rsid w:val="003330E3"/>
    <w:rsid w:val="00333761"/>
    <w:rsid w:val="00334964"/>
    <w:rsid w:val="003368FA"/>
    <w:rsid w:val="003377F6"/>
    <w:rsid w:val="00340581"/>
    <w:rsid w:val="003413A2"/>
    <w:rsid w:val="00341736"/>
    <w:rsid w:val="00341FC1"/>
    <w:rsid w:val="003424D0"/>
    <w:rsid w:val="00342E82"/>
    <w:rsid w:val="003454FC"/>
    <w:rsid w:val="00346189"/>
    <w:rsid w:val="00346E0E"/>
    <w:rsid w:val="003470D6"/>
    <w:rsid w:val="003474A6"/>
    <w:rsid w:val="003475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3D20"/>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18B"/>
    <w:rsid w:val="004862A9"/>
    <w:rsid w:val="00486CD7"/>
    <w:rsid w:val="00490813"/>
    <w:rsid w:val="00490E2A"/>
    <w:rsid w:val="00493F5A"/>
    <w:rsid w:val="00494C2D"/>
    <w:rsid w:val="00495283"/>
    <w:rsid w:val="00495410"/>
    <w:rsid w:val="004964A5"/>
    <w:rsid w:val="004A0703"/>
    <w:rsid w:val="004A0F46"/>
    <w:rsid w:val="004A10EC"/>
    <w:rsid w:val="004A365A"/>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527"/>
    <w:rsid w:val="004D4F73"/>
    <w:rsid w:val="004E0793"/>
    <w:rsid w:val="004E0AFC"/>
    <w:rsid w:val="004E1034"/>
    <w:rsid w:val="004E213A"/>
    <w:rsid w:val="004E268E"/>
    <w:rsid w:val="004E2FA7"/>
    <w:rsid w:val="004E3504"/>
    <w:rsid w:val="004E4813"/>
    <w:rsid w:val="004E57BE"/>
    <w:rsid w:val="004E58B1"/>
    <w:rsid w:val="004E7A48"/>
    <w:rsid w:val="004F0A14"/>
    <w:rsid w:val="004F0CCD"/>
    <w:rsid w:val="004F1843"/>
    <w:rsid w:val="004F1B20"/>
    <w:rsid w:val="004F2CEF"/>
    <w:rsid w:val="004F4CF7"/>
    <w:rsid w:val="004F536A"/>
    <w:rsid w:val="004F6FCF"/>
    <w:rsid w:val="005020E7"/>
    <w:rsid w:val="00502ACC"/>
    <w:rsid w:val="00502B46"/>
    <w:rsid w:val="00502FA3"/>
    <w:rsid w:val="00503171"/>
    <w:rsid w:val="005104C3"/>
    <w:rsid w:val="0051206A"/>
    <w:rsid w:val="00512309"/>
    <w:rsid w:val="00512CFF"/>
    <w:rsid w:val="0051372F"/>
    <w:rsid w:val="00514482"/>
    <w:rsid w:val="00520A53"/>
    <w:rsid w:val="00522C51"/>
    <w:rsid w:val="00526054"/>
    <w:rsid w:val="00526E01"/>
    <w:rsid w:val="00530762"/>
    <w:rsid w:val="005311B0"/>
    <w:rsid w:val="005323EE"/>
    <w:rsid w:val="00532C72"/>
    <w:rsid w:val="00534DA0"/>
    <w:rsid w:val="00537356"/>
    <w:rsid w:val="005411E7"/>
    <w:rsid w:val="00543E6C"/>
    <w:rsid w:val="00544ECE"/>
    <w:rsid w:val="00545BBC"/>
    <w:rsid w:val="00550EFC"/>
    <w:rsid w:val="00552573"/>
    <w:rsid w:val="005536AB"/>
    <w:rsid w:val="005541D4"/>
    <w:rsid w:val="00556793"/>
    <w:rsid w:val="0056341C"/>
    <w:rsid w:val="00565087"/>
    <w:rsid w:val="0056573F"/>
    <w:rsid w:val="00566445"/>
    <w:rsid w:val="00566D2C"/>
    <w:rsid w:val="005731F4"/>
    <w:rsid w:val="00573616"/>
    <w:rsid w:val="005759A2"/>
    <w:rsid w:val="00576820"/>
    <w:rsid w:val="00576E33"/>
    <w:rsid w:val="005806EE"/>
    <w:rsid w:val="0058588B"/>
    <w:rsid w:val="00586F17"/>
    <w:rsid w:val="0059146F"/>
    <w:rsid w:val="00591568"/>
    <w:rsid w:val="00592B81"/>
    <w:rsid w:val="00593957"/>
    <w:rsid w:val="00595ABE"/>
    <w:rsid w:val="00596A09"/>
    <w:rsid w:val="00597653"/>
    <w:rsid w:val="005A0389"/>
    <w:rsid w:val="005A1D77"/>
    <w:rsid w:val="005A259F"/>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2AB2"/>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1839"/>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4900"/>
    <w:rsid w:val="00656467"/>
    <w:rsid w:val="006567F6"/>
    <w:rsid w:val="00656D67"/>
    <w:rsid w:val="006615B7"/>
    <w:rsid w:val="00666651"/>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91D"/>
    <w:rsid w:val="006E2717"/>
    <w:rsid w:val="006E3314"/>
    <w:rsid w:val="006E4D6B"/>
    <w:rsid w:val="006E71D5"/>
    <w:rsid w:val="006E73C6"/>
    <w:rsid w:val="006E7F54"/>
    <w:rsid w:val="006F13B1"/>
    <w:rsid w:val="006F1479"/>
    <w:rsid w:val="006F1FA3"/>
    <w:rsid w:val="006F212F"/>
    <w:rsid w:val="006F2E59"/>
    <w:rsid w:val="006F35FD"/>
    <w:rsid w:val="006F4FC0"/>
    <w:rsid w:val="006F5DE6"/>
    <w:rsid w:val="007004C2"/>
    <w:rsid w:val="00701BAD"/>
    <w:rsid w:val="00704F55"/>
    <w:rsid w:val="007051E2"/>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02C"/>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87AAD"/>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26266"/>
    <w:rsid w:val="00830656"/>
    <w:rsid w:val="00833E64"/>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1013"/>
    <w:rsid w:val="00922E52"/>
    <w:rsid w:val="0092371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420"/>
    <w:rsid w:val="009A482D"/>
    <w:rsid w:val="009A4FD4"/>
    <w:rsid w:val="009A4FD9"/>
    <w:rsid w:val="009A5190"/>
    <w:rsid w:val="009B1765"/>
    <w:rsid w:val="009B28F7"/>
    <w:rsid w:val="009B6C3A"/>
    <w:rsid w:val="009B7671"/>
    <w:rsid w:val="009C01DA"/>
    <w:rsid w:val="009C2009"/>
    <w:rsid w:val="009C21BC"/>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2778D"/>
    <w:rsid w:val="00A27870"/>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676C3"/>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BE5"/>
    <w:rsid w:val="00AB0EE8"/>
    <w:rsid w:val="00AB14C4"/>
    <w:rsid w:val="00AB30AE"/>
    <w:rsid w:val="00AB3B76"/>
    <w:rsid w:val="00AB43B1"/>
    <w:rsid w:val="00AB7904"/>
    <w:rsid w:val="00AC01D1"/>
    <w:rsid w:val="00AC205B"/>
    <w:rsid w:val="00AC2C87"/>
    <w:rsid w:val="00AC30E3"/>
    <w:rsid w:val="00AC38FC"/>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87C87"/>
    <w:rsid w:val="00B92E27"/>
    <w:rsid w:val="00B931D0"/>
    <w:rsid w:val="00B941BA"/>
    <w:rsid w:val="00B94EC5"/>
    <w:rsid w:val="00B95C0E"/>
    <w:rsid w:val="00BA0F1F"/>
    <w:rsid w:val="00BA2519"/>
    <w:rsid w:val="00BA4DBE"/>
    <w:rsid w:val="00BA79DD"/>
    <w:rsid w:val="00BB05BD"/>
    <w:rsid w:val="00BC11EC"/>
    <w:rsid w:val="00BC1987"/>
    <w:rsid w:val="00BC25D1"/>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E6ADB"/>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06A4C"/>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46E1C"/>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C7227"/>
    <w:rsid w:val="00CD0E51"/>
    <w:rsid w:val="00CD11AE"/>
    <w:rsid w:val="00CD2620"/>
    <w:rsid w:val="00CD372F"/>
    <w:rsid w:val="00CD4C7B"/>
    <w:rsid w:val="00CD6C7B"/>
    <w:rsid w:val="00CD7CE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0DF3"/>
    <w:rsid w:val="00D2263F"/>
    <w:rsid w:val="00D229D4"/>
    <w:rsid w:val="00D23C6C"/>
    <w:rsid w:val="00D24684"/>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51EE"/>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C6071"/>
    <w:rsid w:val="00DD2F40"/>
    <w:rsid w:val="00DD34F0"/>
    <w:rsid w:val="00DD3784"/>
    <w:rsid w:val="00DD40A9"/>
    <w:rsid w:val="00DD4A4E"/>
    <w:rsid w:val="00DD4EE9"/>
    <w:rsid w:val="00DD53C0"/>
    <w:rsid w:val="00DD58E9"/>
    <w:rsid w:val="00DE0769"/>
    <w:rsid w:val="00DE3BD7"/>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55C3"/>
    <w:rsid w:val="00E86928"/>
    <w:rsid w:val="00E870CD"/>
    <w:rsid w:val="00E8740E"/>
    <w:rsid w:val="00E9071D"/>
    <w:rsid w:val="00E96E21"/>
    <w:rsid w:val="00EA22F8"/>
    <w:rsid w:val="00EA472F"/>
    <w:rsid w:val="00EA6955"/>
    <w:rsid w:val="00EB0BA3"/>
    <w:rsid w:val="00EB4384"/>
    <w:rsid w:val="00EB60BA"/>
    <w:rsid w:val="00EB7D70"/>
    <w:rsid w:val="00EC041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127"/>
    <w:rsid w:val="00F23E13"/>
    <w:rsid w:val="00F24153"/>
    <w:rsid w:val="00F31A73"/>
    <w:rsid w:val="00F3420E"/>
    <w:rsid w:val="00F36DA6"/>
    <w:rsid w:val="00F37743"/>
    <w:rsid w:val="00F402FC"/>
    <w:rsid w:val="00F4160A"/>
    <w:rsid w:val="00F418AD"/>
    <w:rsid w:val="00F41BFB"/>
    <w:rsid w:val="00F41D6C"/>
    <w:rsid w:val="00F42D7E"/>
    <w:rsid w:val="00F4454A"/>
    <w:rsid w:val="00F448C5"/>
    <w:rsid w:val="00F452AB"/>
    <w:rsid w:val="00F456C3"/>
    <w:rsid w:val="00F47033"/>
    <w:rsid w:val="00F50F3A"/>
    <w:rsid w:val="00F54760"/>
    <w:rsid w:val="00F54A3D"/>
    <w:rsid w:val="00F56DDF"/>
    <w:rsid w:val="00F57E74"/>
    <w:rsid w:val="00F609E8"/>
    <w:rsid w:val="00F62A26"/>
    <w:rsid w:val="00F653B8"/>
    <w:rsid w:val="00F65FC0"/>
    <w:rsid w:val="00F703DE"/>
    <w:rsid w:val="00F70559"/>
    <w:rsid w:val="00F70A2C"/>
    <w:rsid w:val="00F71B64"/>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03CB"/>
    <w:rsid w:val="00FC1192"/>
    <w:rsid w:val="00FC144E"/>
    <w:rsid w:val="00FC1A80"/>
    <w:rsid w:val="00FC359C"/>
    <w:rsid w:val="00FC4C02"/>
    <w:rsid w:val="00FC526A"/>
    <w:rsid w:val="00FC5FE8"/>
    <w:rsid w:val="00FC69E4"/>
    <w:rsid w:val="00FD168F"/>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locked/>
    <w:rsid w:val="00F3420E"/>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79564219">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17209390">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5AIRPNAIUNRU-1156379521-3350</_dlc_DocId>
    <_dlc_DocIdUrl xmlns="71c5aaf6-e6ce-465b-b873-5148d2a4c105">
      <Url>https://nokia.sharepoint.com/sites/c5g/e2earch/_layouts/15/DocIdRedir.aspx?ID=5AIRPNAIUNRU-1156379521-3350</Url>
      <Description>5AIRPNAIUNRU-1156379521-3350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D470993A-DFE7-4ED9-B71E-0BC00F1D7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2067</Words>
  <Characters>11786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13826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coordination of MN’s conditional reconfiguration and SCG reconfiguration</dc:title>
  <dc:subject>3GPP RAN3 #119</dc:subject>
  <dc:creator>Benoist Sébire</dc:creator>
  <cp:keywords>&lt;keyword[, keyword, ]&gt;</cp:keywords>
  <dc:description/>
  <cp:lastModifiedBy>Nokia</cp:lastModifiedBy>
  <cp:revision>8</cp:revision>
  <cp:lastPrinted>2019-03-27T07:16:00Z</cp:lastPrinted>
  <dcterms:created xsi:type="dcterms:W3CDTF">2023-02-10T14:17:00Z</dcterms:created>
  <dcterms:modified xsi:type="dcterms:W3CDTF">2023-02-16T11:51:00Z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b902c8af-5676-4beb-acf0-07ae43e9d10b</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